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89F9" w14:textId="77777777" w:rsidR="005C534C" w:rsidRPr="005C534C" w:rsidRDefault="005C534C" w:rsidP="005C534C">
      <w:pPr>
        <w:rPr>
          <w:b/>
          <w:bCs/>
        </w:rPr>
      </w:pPr>
      <w:r w:rsidRPr="005C534C">
        <w:rPr>
          <w:b/>
          <w:bCs/>
        </w:rPr>
        <w:t>Supporting Statement: Public Rights of Way, Multi</w:t>
      </w:r>
      <w:r w:rsidRPr="005C534C">
        <w:rPr>
          <w:b/>
          <w:bCs/>
        </w:rPr>
        <w:noBreakHyphen/>
        <w:t>User Access and Active Travel Provision</w:t>
      </w:r>
    </w:p>
    <w:p w14:paraId="143AD1ED" w14:textId="77777777" w:rsidR="005C534C" w:rsidRPr="005C534C" w:rsidRDefault="005C534C" w:rsidP="005C534C">
      <w:pPr>
        <w:rPr>
          <w:b/>
          <w:bCs/>
        </w:rPr>
      </w:pPr>
      <w:r w:rsidRPr="005C534C">
        <w:rPr>
          <w:b/>
          <w:bCs/>
        </w:rPr>
        <w:t>1. Introduction</w:t>
      </w:r>
    </w:p>
    <w:p w14:paraId="2F943AFA" w14:textId="77777777" w:rsidR="005C534C" w:rsidRPr="005C534C" w:rsidRDefault="005C534C" w:rsidP="005C534C">
      <w:r w:rsidRPr="005C534C">
        <w:t xml:space="preserve">This statement provides supporting evidence regarding the importance of safeguarding and enhancing </w:t>
      </w:r>
      <w:r w:rsidRPr="005C534C">
        <w:rPr>
          <w:b/>
          <w:bCs/>
        </w:rPr>
        <w:t>Bridleway 32</w:t>
      </w:r>
      <w:r w:rsidRPr="005C534C">
        <w:t xml:space="preserve"> and the wider Public Rights of Way (PROW) network affected by the proposed allocation. It outlines national and local policy requirements, sector guidance, and best</w:t>
      </w:r>
      <w:r w:rsidRPr="005C534C">
        <w:noBreakHyphen/>
        <w:t>practice examples demonstrating why a Pegasus crossing and a multi</w:t>
      </w:r>
      <w:r w:rsidRPr="005C534C">
        <w:noBreakHyphen/>
        <w:t xml:space="preserve">user green corridor should form essential components of the site’s </w:t>
      </w:r>
      <w:proofErr w:type="spellStart"/>
      <w:r w:rsidRPr="005C534C">
        <w:t>masterplanning</w:t>
      </w:r>
      <w:proofErr w:type="spellEnd"/>
      <w:r w:rsidRPr="005C534C">
        <w:t>.</w:t>
      </w:r>
    </w:p>
    <w:p w14:paraId="64A76667" w14:textId="77777777" w:rsidR="005C534C" w:rsidRPr="005C534C" w:rsidRDefault="005C534C" w:rsidP="005C534C">
      <w:pPr>
        <w:rPr>
          <w:b/>
          <w:bCs/>
        </w:rPr>
      </w:pPr>
      <w:r w:rsidRPr="005C534C">
        <w:rPr>
          <w:b/>
          <w:bCs/>
        </w:rPr>
        <w:t>2. Existing Public Rights of Way Network</w:t>
      </w:r>
    </w:p>
    <w:p w14:paraId="0510789B" w14:textId="77777777" w:rsidR="005C534C" w:rsidRPr="005C534C" w:rsidRDefault="005C534C" w:rsidP="005C534C">
      <w:r w:rsidRPr="005C534C">
        <w:t>Bridleway 32 enters the site directly from the south</w:t>
      </w:r>
      <w:r w:rsidRPr="005C534C">
        <w:noBreakHyphen/>
        <w:t>west and forms part of a coherent, well</w:t>
      </w:r>
      <w:r w:rsidRPr="005C534C">
        <w:noBreakHyphen/>
        <w:t>used network of footpaths and bridleways. This network provides essential connectivity for walkers, cyclists, and equestrians, linking the settlement edge with the wider countryside.</w:t>
      </w:r>
    </w:p>
    <w:p w14:paraId="63EF7719" w14:textId="77777777" w:rsidR="005C534C" w:rsidRPr="005C534C" w:rsidRDefault="005C534C" w:rsidP="005C534C">
      <w:r w:rsidRPr="005C534C">
        <w:t>The route’s continuity, safety, and rural character must be protected and enhanced through the development process. Any severance or downgrading would conflict with national policy and established rights</w:t>
      </w:r>
      <w:r w:rsidRPr="005C534C">
        <w:noBreakHyphen/>
        <w:t>of</w:t>
      </w:r>
      <w:r w:rsidRPr="005C534C">
        <w:noBreakHyphen/>
        <w:t>way principles.</w:t>
      </w:r>
    </w:p>
    <w:p w14:paraId="74B8DB09" w14:textId="77777777" w:rsidR="005C534C" w:rsidRPr="005C534C" w:rsidRDefault="005C534C" w:rsidP="005C534C">
      <w:pPr>
        <w:rPr>
          <w:b/>
          <w:bCs/>
        </w:rPr>
      </w:pPr>
      <w:r w:rsidRPr="005C534C">
        <w:rPr>
          <w:b/>
          <w:bCs/>
        </w:rPr>
        <w:t>3. National Policy and Guidance</w:t>
      </w:r>
    </w:p>
    <w:p w14:paraId="72B7EA1E" w14:textId="77777777" w:rsidR="005C534C" w:rsidRPr="005C534C" w:rsidRDefault="005C534C" w:rsidP="005C534C">
      <w:pPr>
        <w:rPr>
          <w:b/>
          <w:bCs/>
        </w:rPr>
      </w:pPr>
      <w:r w:rsidRPr="005C534C">
        <w:rPr>
          <w:b/>
          <w:bCs/>
        </w:rPr>
        <w:t>National Planning Policy Framework (NPPF, 2023)</w:t>
      </w:r>
    </w:p>
    <w:p w14:paraId="149D78DD" w14:textId="77777777" w:rsidR="005C534C" w:rsidRPr="005C534C" w:rsidRDefault="005C534C" w:rsidP="005C534C">
      <w:pPr>
        <w:numPr>
          <w:ilvl w:val="0"/>
          <w:numId w:val="1"/>
        </w:numPr>
      </w:pPr>
      <w:r w:rsidRPr="005C534C">
        <w:rPr>
          <w:b/>
          <w:bCs/>
        </w:rPr>
        <w:t>Para. 100</w:t>
      </w:r>
      <w:r w:rsidRPr="005C534C">
        <w:t xml:space="preserve">: Planning policies should </w:t>
      </w:r>
      <w:r w:rsidRPr="005C534C">
        <w:rPr>
          <w:i/>
          <w:iCs/>
        </w:rPr>
        <w:t>protect and enhance</w:t>
      </w:r>
      <w:r w:rsidRPr="005C534C">
        <w:t xml:space="preserve"> public rights of way and access, including taking opportunities to provide better facilities for users.</w:t>
      </w:r>
    </w:p>
    <w:p w14:paraId="7832626A" w14:textId="77777777" w:rsidR="005C534C" w:rsidRPr="005C534C" w:rsidRDefault="005C534C" w:rsidP="005C534C">
      <w:pPr>
        <w:numPr>
          <w:ilvl w:val="0"/>
          <w:numId w:val="1"/>
        </w:numPr>
      </w:pPr>
      <w:r w:rsidRPr="005C534C">
        <w:rPr>
          <w:b/>
          <w:bCs/>
        </w:rPr>
        <w:t>Para. 92 &amp; 104</w:t>
      </w:r>
      <w:r w:rsidRPr="005C534C">
        <w:t>: Emphasise healthy, inclusive communities and the need for safe, attractive active</w:t>
      </w:r>
      <w:r w:rsidRPr="005C534C">
        <w:noBreakHyphen/>
        <w:t>travel routes.</w:t>
      </w:r>
    </w:p>
    <w:p w14:paraId="3FF67C30" w14:textId="77777777" w:rsidR="005C534C" w:rsidRPr="005C534C" w:rsidRDefault="005C534C" w:rsidP="005C534C">
      <w:pPr>
        <w:rPr>
          <w:b/>
          <w:bCs/>
        </w:rPr>
      </w:pPr>
      <w:r w:rsidRPr="005C534C">
        <w:rPr>
          <w:b/>
          <w:bCs/>
        </w:rPr>
        <w:t>Defra Rights of Way Circular 1/09</w:t>
      </w:r>
    </w:p>
    <w:p w14:paraId="6E0704B1" w14:textId="77777777" w:rsidR="005C534C" w:rsidRPr="005C534C" w:rsidRDefault="005C534C" w:rsidP="005C534C">
      <w:pPr>
        <w:numPr>
          <w:ilvl w:val="0"/>
          <w:numId w:val="2"/>
        </w:numPr>
      </w:pPr>
      <w:r w:rsidRPr="005C534C">
        <w:t>Developments should not lead to the loss of PROW.</w:t>
      </w:r>
    </w:p>
    <w:p w14:paraId="1E4BF08A" w14:textId="77777777" w:rsidR="005C534C" w:rsidRPr="005C534C" w:rsidRDefault="005C534C" w:rsidP="005C534C">
      <w:pPr>
        <w:numPr>
          <w:ilvl w:val="0"/>
          <w:numId w:val="2"/>
        </w:numPr>
      </w:pPr>
      <w:r w:rsidRPr="005C534C">
        <w:t>Opportunities should be taken to improve connectivity and accessibility.</w:t>
      </w:r>
    </w:p>
    <w:p w14:paraId="6257A9E2" w14:textId="77777777" w:rsidR="005C534C" w:rsidRPr="005C534C" w:rsidRDefault="005C534C" w:rsidP="005C534C">
      <w:pPr>
        <w:rPr>
          <w:b/>
          <w:bCs/>
        </w:rPr>
      </w:pPr>
      <w:r w:rsidRPr="005C534C">
        <w:rPr>
          <w:b/>
          <w:bCs/>
        </w:rPr>
        <w:t>British Horse Society (BHS) Guidance</w:t>
      </w:r>
    </w:p>
    <w:p w14:paraId="581D3571" w14:textId="77777777" w:rsidR="005C534C" w:rsidRPr="005C534C" w:rsidRDefault="005C534C" w:rsidP="005C534C">
      <w:pPr>
        <w:numPr>
          <w:ilvl w:val="0"/>
          <w:numId w:val="3"/>
        </w:numPr>
      </w:pPr>
      <w:r w:rsidRPr="005C534C">
        <w:t>Equestrians require safe, continuous routes separated from motor traffic.</w:t>
      </w:r>
    </w:p>
    <w:p w14:paraId="739810EE" w14:textId="77777777" w:rsidR="005C534C" w:rsidRPr="005C534C" w:rsidRDefault="005C534C" w:rsidP="005C534C">
      <w:pPr>
        <w:numPr>
          <w:ilvl w:val="0"/>
          <w:numId w:val="3"/>
        </w:numPr>
      </w:pPr>
      <w:r w:rsidRPr="005C534C">
        <w:rPr>
          <w:b/>
          <w:bCs/>
        </w:rPr>
        <w:t>Pegasus crossings</w:t>
      </w:r>
      <w:r w:rsidRPr="005C534C">
        <w:t xml:space="preserve"> are the recommended standard for crossing busy roads.</w:t>
      </w:r>
    </w:p>
    <w:p w14:paraId="2BCE7558" w14:textId="77777777" w:rsidR="005C534C" w:rsidRPr="005C534C" w:rsidRDefault="005C534C" w:rsidP="005C534C">
      <w:pPr>
        <w:numPr>
          <w:ilvl w:val="0"/>
          <w:numId w:val="3"/>
        </w:numPr>
      </w:pPr>
      <w:r w:rsidRPr="005C534C">
        <w:t>Multi</w:t>
      </w:r>
      <w:r w:rsidRPr="005C534C">
        <w:noBreakHyphen/>
        <w:t>user routes should be designed to accommodate horses, cyclists, and pedestrians without conflict.</w:t>
      </w:r>
    </w:p>
    <w:p w14:paraId="2A78869D" w14:textId="77777777" w:rsidR="005C534C" w:rsidRPr="005C534C" w:rsidRDefault="005C534C" w:rsidP="005C534C">
      <w:pPr>
        <w:rPr>
          <w:b/>
          <w:bCs/>
        </w:rPr>
      </w:pPr>
      <w:r w:rsidRPr="005C534C">
        <w:rPr>
          <w:b/>
          <w:bCs/>
        </w:rPr>
        <w:t>LTN 1/20 (Department for Transport)</w:t>
      </w:r>
    </w:p>
    <w:p w14:paraId="6CD1001C" w14:textId="77777777" w:rsidR="005C534C" w:rsidRPr="005C534C" w:rsidRDefault="005C534C" w:rsidP="005C534C">
      <w:r w:rsidRPr="005C534C">
        <w:t>Although cycle</w:t>
      </w:r>
      <w:r w:rsidRPr="005C534C">
        <w:noBreakHyphen/>
        <w:t>focused, its principles apply to all non</w:t>
      </w:r>
      <w:r w:rsidRPr="005C534C">
        <w:noBreakHyphen/>
        <w:t>motorised users:</w:t>
      </w:r>
    </w:p>
    <w:p w14:paraId="28FE3287" w14:textId="77777777" w:rsidR="005C534C" w:rsidRPr="005C534C" w:rsidRDefault="005C534C" w:rsidP="005C534C">
      <w:pPr>
        <w:numPr>
          <w:ilvl w:val="0"/>
          <w:numId w:val="4"/>
        </w:numPr>
      </w:pPr>
      <w:r w:rsidRPr="005C534C">
        <w:t>Routes must be coherent, direct, safe, comfortable, and attractive.</w:t>
      </w:r>
    </w:p>
    <w:p w14:paraId="3AE51E5D" w14:textId="77777777" w:rsidR="005C534C" w:rsidRPr="005C534C" w:rsidRDefault="005C534C" w:rsidP="005C534C">
      <w:pPr>
        <w:numPr>
          <w:ilvl w:val="0"/>
          <w:numId w:val="4"/>
        </w:numPr>
      </w:pPr>
      <w:r w:rsidRPr="005C534C">
        <w:t>Active</w:t>
      </w:r>
      <w:r w:rsidRPr="005C534C">
        <w:noBreakHyphen/>
        <w:t>travel corridors should be integrated into new developments.</w:t>
      </w:r>
    </w:p>
    <w:p w14:paraId="02CAADE8" w14:textId="77777777" w:rsidR="005C534C" w:rsidRPr="005C534C" w:rsidRDefault="005C534C" w:rsidP="005C534C">
      <w:pPr>
        <w:rPr>
          <w:b/>
          <w:bCs/>
        </w:rPr>
      </w:pPr>
      <w:r w:rsidRPr="005C534C">
        <w:rPr>
          <w:b/>
          <w:bCs/>
        </w:rPr>
        <w:t>Manual for Streets</w:t>
      </w:r>
    </w:p>
    <w:p w14:paraId="347E41C6" w14:textId="77777777" w:rsidR="005C534C" w:rsidRPr="005C534C" w:rsidRDefault="005C534C" w:rsidP="005C534C">
      <w:pPr>
        <w:numPr>
          <w:ilvl w:val="0"/>
          <w:numId w:val="5"/>
        </w:numPr>
      </w:pPr>
      <w:r w:rsidRPr="005C534C">
        <w:t>Encourages green corridors, permeability, and landscape</w:t>
      </w:r>
      <w:r w:rsidRPr="005C534C">
        <w:noBreakHyphen/>
        <w:t>led movement networks.</w:t>
      </w:r>
    </w:p>
    <w:p w14:paraId="6AAE0E03" w14:textId="77777777" w:rsidR="005C534C" w:rsidRPr="005C534C" w:rsidRDefault="005C534C" w:rsidP="005C534C">
      <w:pPr>
        <w:rPr>
          <w:b/>
          <w:bCs/>
        </w:rPr>
      </w:pPr>
      <w:r w:rsidRPr="005C534C">
        <w:rPr>
          <w:b/>
          <w:bCs/>
        </w:rPr>
        <w:t>4. Need for a Pegasus Crossing on Rectory Road</w:t>
      </w:r>
    </w:p>
    <w:p w14:paraId="325C8C11" w14:textId="77777777" w:rsidR="005C534C" w:rsidRPr="005C534C" w:rsidRDefault="005C534C" w:rsidP="005C534C">
      <w:r w:rsidRPr="005C534C">
        <w:t>Rectory Road currently forms a barrier to safe onward travel for equestrians and other non</w:t>
      </w:r>
      <w:r w:rsidRPr="005C534C">
        <w:noBreakHyphen/>
        <w:t xml:space="preserve">motorised users. A </w:t>
      </w:r>
      <w:r w:rsidRPr="005C534C">
        <w:rPr>
          <w:b/>
          <w:bCs/>
        </w:rPr>
        <w:t>Pegasus crossing</w:t>
      </w:r>
      <w:r w:rsidRPr="005C534C">
        <w:t xml:space="preserve"> would:</w:t>
      </w:r>
    </w:p>
    <w:p w14:paraId="23762F23" w14:textId="77777777" w:rsidR="005C534C" w:rsidRPr="005C534C" w:rsidRDefault="005C534C" w:rsidP="005C534C">
      <w:pPr>
        <w:numPr>
          <w:ilvl w:val="0"/>
          <w:numId w:val="6"/>
        </w:numPr>
      </w:pPr>
      <w:r w:rsidRPr="005C534C">
        <w:t>Provide a safe, signal</w:t>
      </w:r>
      <w:r w:rsidRPr="005C534C">
        <w:noBreakHyphen/>
        <w:t>controlled crossing for horses, cyclists, and pedestrians.</w:t>
      </w:r>
    </w:p>
    <w:p w14:paraId="07FB05B8" w14:textId="77777777" w:rsidR="005C534C" w:rsidRPr="005C534C" w:rsidRDefault="005C534C" w:rsidP="005C534C">
      <w:pPr>
        <w:numPr>
          <w:ilvl w:val="0"/>
          <w:numId w:val="6"/>
        </w:numPr>
      </w:pPr>
      <w:r w:rsidRPr="005C534C">
        <w:t>Meet BHS and DfT standards for multi</w:t>
      </w:r>
      <w:r w:rsidRPr="005C534C">
        <w:noBreakHyphen/>
        <w:t>user safety.</w:t>
      </w:r>
    </w:p>
    <w:p w14:paraId="44171991" w14:textId="77777777" w:rsidR="005C534C" w:rsidRPr="005C534C" w:rsidRDefault="005C534C" w:rsidP="005C534C">
      <w:pPr>
        <w:numPr>
          <w:ilvl w:val="0"/>
          <w:numId w:val="6"/>
        </w:numPr>
      </w:pPr>
      <w:r w:rsidRPr="005C534C">
        <w:t>Enable Bridleway 32 to continue seamlessly through the development.</w:t>
      </w:r>
    </w:p>
    <w:p w14:paraId="453CB295" w14:textId="77777777" w:rsidR="005C534C" w:rsidRPr="005C534C" w:rsidRDefault="005C534C" w:rsidP="005C534C">
      <w:pPr>
        <w:numPr>
          <w:ilvl w:val="0"/>
          <w:numId w:val="6"/>
        </w:numPr>
      </w:pPr>
      <w:r w:rsidRPr="005C534C">
        <w:t>Support Colchester’s own Local Plan objectives for sustainable movement and active travel.</w:t>
      </w:r>
    </w:p>
    <w:p w14:paraId="449BCEFA" w14:textId="77777777" w:rsidR="005C534C" w:rsidRPr="005C534C" w:rsidRDefault="005C534C" w:rsidP="005C534C">
      <w:pPr>
        <w:rPr>
          <w:b/>
          <w:bCs/>
        </w:rPr>
      </w:pPr>
      <w:r w:rsidRPr="005C534C">
        <w:rPr>
          <w:b/>
          <w:bCs/>
        </w:rPr>
        <w:t>Precedent Examples</w:t>
      </w:r>
    </w:p>
    <w:p w14:paraId="28602649" w14:textId="77777777" w:rsidR="005C534C" w:rsidRPr="005C534C" w:rsidRDefault="005C534C" w:rsidP="005C534C">
      <w:r w:rsidRPr="005C534C">
        <w:t>Pegasus crossings are now routinely required in major developments, including:</w:t>
      </w:r>
    </w:p>
    <w:p w14:paraId="0BA993B7" w14:textId="77777777" w:rsidR="005C534C" w:rsidRPr="005C534C" w:rsidRDefault="005C534C" w:rsidP="005C534C">
      <w:pPr>
        <w:numPr>
          <w:ilvl w:val="0"/>
          <w:numId w:val="7"/>
        </w:numPr>
      </w:pPr>
      <w:proofErr w:type="spellStart"/>
      <w:r w:rsidRPr="005C534C">
        <w:rPr>
          <w:b/>
          <w:bCs/>
        </w:rPr>
        <w:t>Northstowe</w:t>
      </w:r>
      <w:proofErr w:type="spellEnd"/>
      <w:r w:rsidRPr="005C534C">
        <w:rPr>
          <w:b/>
          <w:bCs/>
        </w:rPr>
        <w:t xml:space="preserve"> (Cambridgeshire)</w:t>
      </w:r>
    </w:p>
    <w:p w14:paraId="03949B1E" w14:textId="77777777" w:rsidR="005C534C" w:rsidRPr="005C534C" w:rsidRDefault="005C534C" w:rsidP="005C534C">
      <w:pPr>
        <w:numPr>
          <w:ilvl w:val="0"/>
          <w:numId w:val="7"/>
        </w:numPr>
      </w:pPr>
      <w:r w:rsidRPr="005C534C">
        <w:rPr>
          <w:b/>
          <w:bCs/>
        </w:rPr>
        <w:t>Cranbrook (Devon)</w:t>
      </w:r>
    </w:p>
    <w:p w14:paraId="770F73E2" w14:textId="77777777" w:rsidR="005C534C" w:rsidRPr="005C534C" w:rsidRDefault="005C534C" w:rsidP="005C534C">
      <w:pPr>
        <w:numPr>
          <w:ilvl w:val="0"/>
          <w:numId w:val="7"/>
        </w:numPr>
      </w:pPr>
      <w:r w:rsidRPr="005C534C">
        <w:rPr>
          <w:b/>
          <w:bCs/>
        </w:rPr>
        <w:t>Multiple Garden Community schemes</w:t>
      </w:r>
    </w:p>
    <w:p w14:paraId="26DDA8D4" w14:textId="77777777" w:rsidR="005C534C" w:rsidRPr="005C534C" w:rsidRDefault="005C534C" w:rsidP="005C534C">
      <w:r w:rsidRPr="005C534C">
        <w:t>These demonstrate clear national acceptance of Pegasus crossings as standard infrastructure where equestrian routes intersect with new settlements.</w:t>
      </w:r>
    </w:p>
    <w:p w14:paraId="20A28D15" w14:textId="77777777" w:rsidR="005C534C" w:rsidRPr="005C534C" w:rsidRDefault="005C534C" w:rsidP="005C534C">
      <w:pPr>
        <w:rPr>
          <w:b/>
          <w:bCs/>
        </w:rPr>
      </w:pPr>
      <w:r w:rsidRPr="005C534C">
        <w:rPr>
          <w:b/>
          <w:bCs/>
        </w:rPr>
        <w:t>5. Multi</w:t>
      </w:r>
      <w:r w:rsidRPr="005C534C">
        <w:rPr>
          <w:b/>
          <w:bCs/>
        </w:rPr>
        <w:noBreakHyphen/>
        <w:t>User Green Corridor Through the Development</w:t>
      </w:r>
    </w:p>
    <w:p w14:paraId="170B1DB9" w14:textId="77777777" w:rsidR="005C534C" w:rsidRPr="005C534C" w:rsidRDefault="005C534C" w:rsidP="005C534C">
      <w:r w:rsidRPr="005C534C">
        <w:t>A landscape</w:t>
      </w:r>
      <w:r w:rsidRPr="005C534C">
        <w:noBreakHyphen/>
        <w:t>led, traffic</w:t>
      </w:r>
      <w:r w:rsidRPr="005C534C">
        <w:noBreakHyphen/>
        <w:t>free multi</w:t>
      </w:r>
      <w:r w:rsidRPr="005C534C">
        <w:noBreakHyphen/>
        <w:t>user route through the site would:</w:t>
      </w:r>
    </w:p>
    <w:p w14:paraId="207FF370" w14:textId="77777777" w:rsidR="005C534C" w:rsidRPr="005C534C" w:rsidRDefault="005C534C" w:rsidP="005C534C">
      <w:pPr>
        <w:numPr>
          <w:ilvl w:val="0"/>
          <w:numId w:val="8"/>
        </w:numPr>
      </w:pPr>
      <w:r w:rsidRPr="005C534C">
        <w:lastRenderedPageBreak/>
        <w:t>Retain the rural character of Bridleway 32.</w:t>
      </w:r>
    </w:p>
    <w:p w14:paraId="67AAD020" w14:textId="77777777" w:rsidR="005C534C" w:rsidRPr="005C534C" w:rsidRDefault="005C534C" w:rsidP="005C534C">
      <w:pPr>
        <w:numPr>
          <w:ilvl w:val="0"/>
          <w:numId w:val="8"/>
        </w:numPr>
      </w:pPr>
      <w:r w:rsidRPr="005C534C">
        <w:t>Provide safe, inclusive access for walkers, cyclists, and equestrians.</w:t>
      </w:r>
    </w:p>
    <w:p w14:paraId="1EFF3D8F" w14:textId="77777777" w:rsidR="005C534C" w:rsidRPr="005C534C" w:rsidRDefault="005C534C" w:rsidP="005C534C">
      <w:pPr>
        <w:numPr>
          <w:ilvl w:val="0"/>
          <w:numId w:val="8"/>
        </w:numPr>
      </w:pPr>
      <w:r w:rsidRPr="005C534C">
        <w:t>Deliver biodiversity benefits through green</w:t>
      </w:r>
      <w:r w:rsidRPr="005C534C">
        <w:noBreakHyphen/>
        <w:t>corridor design.</w:t>
      </w:r>
    </w:p>
    <w:p w14:paraId="40E959EF" w14:textId="77777777" w:rsidR="005C534C" w:rsidRPr="005C534C" w:rsidRDefault="005C534C" w:rsidP="005C534C">
      <w:pPr>
        <w:numPr>
          <w:ilvl w:val="0"/>
          <w:numId w:val="8"/>
        </w:numPr>
      </w:pPr>
      <w:r w:rsidRPr="005C534C">
        <w:t>Support modal shift away from short car journeys.</w:t>
      </w:r>
    </w:p>
    <w:p w14:paraId="532C0E80" w14:textId="77777777" w:rsidR="005C534C" w:rsidRPr="005C534C" w:rsidRDefault="005C534C" w:rsidP="005C534C">
      <w:pPr>
        <w:numPr>
          <w:ilvl w:val="0"/>
          <w:numId w:val="8"/>
        </w:numPr>
      </w:pPr>
      <w:r w:rsidRPr="005C534C">
        <w:t>Enhance the legibility and permeability of the development.</w:t>
      </w:r>
    </w:p>
    <w:p w14:paraId="5C3514D2" w14:textId="77777777" w:rsidR="005C534C" w:rsidRPr="005C534C" w:rsidRDefault="005C534C" w:rsidP="005C534C">
      <w:r w:rsidRPr="005C534C">
        <w:t>This approach aligns with NPPF, Manual for Streets, and Essex LCWIP principles.</w:t>
      </w:r>
    </w:p>
    <w:p w14:paraId="7B6CB1B3" w14:textId="77777777" w:rsidR="005C534C" w:rsidRPr="005C534C" w:rsidRDefault="005C534C" w:rsidP="005C534C">
      <w:pPr>
        <w:rPr>
          <w:b/>
          <w:bCs/>
        </w:rPr>
      </w:pPr>
      <w:r w:rsidRPr="005C534C">
        <w:rPr>
          <w:b/>
          <w:bCs/>
        </w:rPr>
        <w:t>6. Circular Route Creation: Linking to Footpaths 29 and 33</w:t>
      </w:r>
    </w:p>
    <w:p w14:paraId="13EA1212" w14:textId="77777777" w:rsidR="005C534C" w:rsidRPr="005C534C" w:rsidRDefault="005C534C" w:rsidP="005C534C">
      <w:r w:rsidRPr="005C534C">
        <w:t xml:space="preserve">Connecting Bridleway 32 to </w:t>
      </w:r>
      <w:r w:rsidRPr="005C534C">
        <w:rPr>
          <w:b/>
          <w:bCs/>
        </w:rPr>
        <w:t>Footpath 29 and/or Footpath 33</w:t>
      </w:r>
      <w:r w:rsidRPr="005C534C">
        <w:t xml:space="preserve"> would create a highly valuable </w:t>
      </w:r>
      <w:r w:rsidRPr="005C534C">
        <w:rPr>
          <w:b/>
          <w:bCs/>
        </w:rPr>
        <w:t>circular walk/ride</w:t>
      </w:r>
      <w:r w:rsidRPr="005C534C">
        <w:t>, accessible to all non</w:t>
      </w:r>
      <w:r w:rsidRPr="005C534C">
        <w:noBreakHyphen/>
        <w:t>motorised users.</w:t>
      </w:r>
    </w:p>
    <w:p w14:paraId="15C401B3" w14:textId="77777777" w:rsidR="005C534C" w:rsidRPr="005C534C" w:rsidRDefault="005C534C" w:rsidP="005C534C">
      <w:r w:rsidRPr="005C534C">
        <w:t>Circular routes are strongly supported by:</w:t>
      </w:r>
    </w:p>
    <w:p w14:paraId="1B81FC9B" w14:textId="77777777" w:rsidR="005C534C" w:rsidRPr="005C534C" w:rsidRDefault="005C534C" w:rsidP="005C534C">
      <w:pPr>
        <w:numPr>
          <w:ilvl w:val="0"/>
          <w:numId w:val="9"/>
        </w:numPr>
      </w:pPr>
      <w:r w:rsidRPr="005C534C">
        <w:rPr>
          <w:b/>
          <w:bCs/>
        </w:rPr>
        <w:t>Natural England Access &amp; Engagement Guidance</w:t>
      </w:r>
    </w:p>
    <w:p w14:paraId="64C49236" w14:textId="77777777" w:rsidR="005C534C" w:rsidRPr="005C534C" w:rsidRDefault="005C534C" w:rsidP="005C534C">
      <w:pPr>
        <w:numPr>
          <w:ilvl w:val="0"/>
          <w:numId w:val="9"/>
        </w:numPr>
      </w:pPr>
      <w:r w:rsidRPr="005C534C">
        <w:rPr>
          <w:b/>
          <w:bCs/>
        </w:rPr>
        <w:t>Essex Rights of Way Improvement Plan (ROWIP)</w:t>
      </w:r>
      <w:r w:rsidRPr="005C534C">
        <w:t>, which prioritises circular, multi</w:t>
      </w:r>
      <w:r w:rsidRPr="005C534C">
        <w:noBreakHyphen/>
        <w:t>user routes</w:t>
      </w:r>
    </w:p>
    <w:p w14:paraId="6429FB87" w14:textId="77777777" w:rsidR="005C534C" w:rsidRPr="005C534C" w:rsidRDefault="005C534C" w:rsidP="005C534C">
      <w:pPr>
        <w:numPr>
          <w:ilvl w:val="0"/>
          <w:numId w:val="9"/>
        </w:numPr>
      </w:pPr>
      <w:r w:rsidRPr="005C534C">
        <w:rPr>
          <w:b/>
          <w:bCs/>
        </w:rPr>
        <w:t>Public Health England</w:t>
      </w:r>
      <w:r w:rsidRPr="005C534C">
        <w:t xml:space="preserve"> evidence linking circular routes to increased physical activity and wellbeing</w:t>
      </w:r>
    </w:p>
    <w:p w14:paraId="39A3690C" w14:textId="77777777" w:rsidR="005C534C" w:rsidRPr="005C534C" w:rsidRDefault="005C534C" w:rsidP="005C534C">
      <w:r w:rsidRPr="005C534C">
        <w:t>This would deliver a genuine community benefit extending beyond the development boundary.</w:t>
      </w:r>
    </w:p>
    <w:p w14:paraId="4D01C6A1" w14:textId="77777777" w:rsidR="005C534C" w:rsidRPr="005C534C" w:rsidRDefault="005C534C" w:rsidP="005C534C">
      <w:pPr>
        <w:rPr>
          <w:b/>
          <w:bCs/>
        </w:rPr>
      </w:pPr>
      <w:r w:rsidRPr="005C534C">
        <w:rPr>
          <w:b/>
          <w:bCs/>
        </w:rPr>
        <w:t>7. Summary and Recommendations</w:t>
      </w:r>
    </w:p>
    <w:p w14:paraId="582DDD16" w14:textId="77777777" w:rsidR="005C534C" w:rsidRPr="005C534C" w:rsidRDefault="005C534C" w:rsidP="005C534C">
      <w:r w:rsidRPr="005C534C">
        <w:t>The site presents a clear opportunity to deliver high</w:t>
      </w:r>
      <w:r w:rsidRPr="005C534C">
        <w:noBreakHyphen/>
        <w:t>quality, inclusive access infrastructure that:</w:t>
      </w:r>
    </w:p>
    <w:p w14:paraId="72878395" w14:textId="77777777" w:rsidR="005C534C" w:rsidRPr="005C534C" w:rsidRDefault="005C534C" w:rsidP="005C534C">
      <w:pPr>
        <w:numPr>
          <w:ilvl w:val="0"/>
          <w:numId w:val="10"/>
        </w:numPr>
      </w:pPr>
      <w:r w:rsidRPr="005C534C">
        <w:t>Protects and enhances Bridleway 32</w:t>
      </w:r>
    </w:p>
    <w:p w14:paraId="53CFEF3A" w14:textId="77777777" w:rsidR="005C534C" w:rsidRPr="005C534C" w:rsidRDefault="005C534C" w:rsidP="005C534C">
      <w:pPr>
        <w:numPr>
          <w:ilvl w:val="0"/>
          <w:numId w:val="10"/>
        </w:numPr>
      </w:pPr>
      <w:r w:rsidRPr="005C534C">
        <w:t>Provides a safe Pegasus crossing on Rectory Road</w:t>
      </w:r>
    </w:p>
    <w:p w14:paraId="6B1966E6" w14:textId="77777777" w:rsidR="005C534C" w:rsidRPr="005C534C" w:rsidRDefault="005C534C" w:rsidP="005C534C">
      <w:pPr>
        <w:numPr>
          <w:ilvl w:val="0"/>
          <w:numId w:val="10"/>
        </w:numPr>
      </w:pPr>
      <w:r w:rsidRPr="005C534C">
        <w:t>Creates a multi</w:t>
      </w:r>
      <w:r w:rsidRPr="005C534C">
        <w:noBreakHyphen/>
        <w:t>user green corridor through the development</w:t>
      </w:r>
    </w:p>
    <w:p w14:paraId="488D75CC" w14:textId="77777777" w:rsidR="005C534C" w:rsidRPr="005C534C" w:rsidRDefault="005C534C" w:rsidP="005C534C">
      <w:pPr>
        <w:numPr>
          <w:ilvl w:val="0"/>
          <w:numId w:val="10"/>
        </w:numPr>
      </w:pPr>
      <w:r w:rsidRPr="005C534C">
        <w:t>Connects to Footpaths 29/33 to form a circular route</w:t>
      </w:r>
    </w:p>
    <w:p w14:paraId="75ECF0D7" w14:textId="77777777" w:rsidR="005C534C" w:rsidRPr="005C534C" w:rsidRDefault="005C534C" w:rsidP="005C534C">
      <w:pPr>
        <w:numPr>
          <w:ilvl w:val="0"/>
          <w:numId w:val="10"/>
        </w:numPr>
      </w:pPr>
      <w:r w:rsidRPr="005C534C">
        <w:t>Aligns with national policy, sector guidance, and local priorities</w:t>
      </w:r>
    </w:p>
    <w:p w14:paraId="1DE0713A" w14:textId="77777777" w:rsidR="005C534C" w:rsidRPr="005C534C" w:rsidRDefault="005C534C" w:rsidP="005C534C">
      <w:pPr>
        <w:numPr>
          <w:ilvl w:val="0"/>
          <w:numId w:val="10"/>
        </w:numPr>
      </w:pPr>
      <w:r w:rsidRPr="005C534C">
        <w:t>Delivers lasting connectivity, safety, and wellbeing benefits for the whole community</w:t>
      </w:r>
    </w:p>
    <w:p w14:paraId="46648122" w14:textId="77777777" w:rsidR="005C534C" w:rsidRPr="005C534C" w:rsidRDefault="005C534C" w:rsidP="005C534C">
      <w:r w:rsidRPr="005C534C">
        <w:t>This package of measures should be embedded into the site’s masterplan and secured through planning policy wording and developer requirements.</w:t>
      </w:r>
    </w:p>
    <w:p w14:paraId="5FE5A3AE" w14:textId="77777777" w:rsidR="00672E42" w:rsidRDefault="00672E42"/>
    <w:sectPr w:rsidR="00672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9B8"/>
    <w:multiLevelType w:val="multilevel"/>
    <w:tmpl w:val="6860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0C5A"/>
    <w:multiLevelType w:val="multilevel"/>
    <w:tmpl w:val="0872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12D33"/>
    <w:multiLevelType w:val="multilevel"/>
    <w:tmpl w:val="89F4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A567F"/>
    <w:multiLevelType w:val="multilevel"/>
    <w:tmpl w:val="FB8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D36D6"/>
    <w:multiLevelType w:val="multilevel"/>
    <w:tmpl w:val="FD38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34E1B"/>
    <w:multiLevelType w:val="multilevel"/>
    <w:tmpl w:val="702A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C59A4"/>
    <w:multiLevelType w:val="multilevel"/>
    <w:tmpl w:val="767E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6129D"/>
    <w:multiLevelType w:val="multilevel"/>
    <w:tmpl w:val="889A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11F3B"/>
    <w:multiLevelType w:val="multilevel"/>
    <w:tmpl w:val="A01C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714AB"/>
    <w:multiLevelType w:val="multilevel"/>
    <w:tmpl w:val="5746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533831">
    <w:abstractNumId w:val="5"/>
  </w:num>
  <w:num w:numId="2" w16cid:durableId="1132092845">
    <w:abstractNumId w:val="9"/>
  </w:num>
  <w:num w:numId="3" w16cid:durableId="1012562759">
    <w:abstractNumId w:val="1"/>
  </w:num>
  <w:num w:numId="4" w16cid:durableId="909777427">
    <w:abstractNumId w:val="4"/>
  </w:num>
  <w:num w:numId="5" w16cid:durableId="1371297520">
    <w:abstractNumId w:val="2"/>
  </w:num>
  <w:num w:numId="6" w16cid:durableId="1835948642">
    <w:abstractNumId w:val="0"/>
  </w:num>
  <w:num w:numId="7" w16cid:durableId="162666906">
    <w:abstractNumId w:val="6"/>
  </w:num>
  <w:num w:numId="8" w16cid:durableId="369767620">
    <w:abstractNumId w:val="8"/>
  </w:num>
  <w:num w:numId="9" w16cid:durableId="1069770196">
    <w:abstractNumId w:val="3"/>
  </w:num>
  <w:num w:numId="10" w16cid:durableId="15222800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4C"/>
    <w:rsid w:val="000557FB"/>
    <w:rsid w:val="005459D7"/>
    <w:rsid w:val="00573147"/>
    <w:rsid w:val="005C534C"/>
    <w:rsid w:val="00672E42"/>
    <w:rsid w:val="00872330"/>
    <w:rsid w:val="00FD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7715"/>
  <w15:chartTrackingRefBased/>
  <w15:docId w15:val="{840EC33E-11E7-499B-B8FD-E6F84CAF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3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3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3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3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3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3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3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mcmanus</dc:creator>
  <cp:keywords/>
  <dc:description/>
  <cp:lastModifiedBy>sally mcmanus</cp:lastModifiedBy>
  <cp:revision>1</cp:revision>
  <dcterms:created xsi:type="dcterms:W3CDTF">2026-01-12T11:11:00Z</dcterms:created>
  <dcterms:modified xsi:type="dcterms:W3CDTF">2026-01-12T11:13:00Z</dcterms:modified>
</cp:coreProperties>
</file>