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BAF23" w14:textId="77777777" w:rsidR="003D43CF" w:rsidRDefault="003D43CF" w:rsidP="003D43CF">
      <w:pPr>
        <w:rPr>
          <w:b/>
          <w:bCs/>
        </w:rPr>
      </w:pPr>
      <w:r>
        <w:rPr>
          <w:b/>
          <w:bCs/>
        </w:rPr>
        <w:t>Supporting information for PP 42</w:t>
      </w:r>
    </w:p>
    <w:p w14:paraId="26219EDB" w14:textId="77777777" w:rsidR="003D43CF" w:rsidRDefault="003D43CF" w:rsidP="003D43CF">
      <w:pPr>
        <w:rPr>
          <w:b/>
          <w:bCs/>
        </w:rPr>
      </w:pPr>
    </w:p>
    <w:p w14:paraId="26288FD1" w14:textId="769AA7BB" w:rsidR="003D43CF" w:rsidRPr="003D43CF" w:rsidRDefault="003D43CF" w:rsidP="003D43CF">
      <w:pPr>
        <w:rPr>
          <w:b/>
          <w:bCs/>
        </w:rPr>
      </w:pPr>
      <w:r w:rsidRPr="003D43CF">
        <w:rPr>
          <w:b/>
          <w:bCs/>
        </w:rPr>
        <w:t>1. Introduction</w:t>
      </w:r>
    </w:p>
    <w:p w14:paraId="7D21FEB1" w14:textId="77777777" w:rsidR="003D43CF" w:rsidRPr="003D43CF" w:rsidRDefault="003D43CF" w:rsidP="003D43CF">
      <w:r w:rsidRPr="003D43CF">
        <w:t>This statement provides supporting evidence regarding the importance of safeguarding the wooded landscape, Public Rights of Way (PROW), and equestrian access surrounding the proposed allocation south of White Hart Lane. It highlights the site’s environmental character, the proximity of two established livery yards, and the opportunity to deliver a high</w:t>
      </w:r>
      <w:r w:rsidRPr="003D43CF">
        <w:noBreakHyphen/>
        <w:t>quality multi</w:t>
      </w:r>
      <w:r w:rsidRPr="003D43CF">
        <w:noBreakHyphen/>
        <w:t>user route linking Footpaths 7 and 4.</w:t>
      </w:r>
    </w:p>
    <w:p w14:paraId="1C34CE3B" w14:textId="77777777" w:rsidR="003D43CF" w:rsidRPr="003D43CF" w:rsidRDefault="003D43CF" w:rsidP="003D43CF">
      <w:pPr>
        <w:rPr>
          <w:b/>
          <w:bCs/>
        </w:rPr>
      </w:pPr>
      <w:r w:rsidRPr="003D43CF">
        <w:rPr>
          <w:b/>
          <w:bCs/>
        </w:rPr>
        <w:t>2. Wooded Landscape and Green Infrastructure</w:t>
      </w:r>
    </w:p>
    <w:p w14:paraId="30D85FB6" w14:textId="77777777" w:rsidR="003D43CF" w:rsidRPr="003D43CF" w:rsidRDefault="003D43CF" w:rsidP="003D43CF">
      <w:r w:rsidRPr="003D43CF">
        <w:t xml:space="preserve">The proposed allocation sits within a </w:t>
      </w:r>
      <w:r w:rsidRPr="003D43CF">
        <w:rPr>
          <w:b/>
          <w:bCs/>
        </w:rPr>
        <w:t>visually rich, tree</w:t>
      </w:r>
      <w:r w:rsidRPr="003D43CF">
        <w:rPr>
          <w:b/>
          <w:bCs/>
        </w:rPr>
        <w:noBreakHyphen/>
        <w:t>covered landscape</w:t>
      </w:r>
      <w:r w:rsidRPr="003D43CF">
        <w:t>, with dense woodland blocks, mature tree belts and established vegetation clearly visible on the base mapping. This wooded character forms a defining part of the local green infrastructure and contributes to the rural setting of the surrounding PROW network.</w:t>
      </w:r>
    </w:p>
    <w:p w14:paraId="77DC9E62" w14:textId="77777777" w:rsidR="003D43CF" w:rsidRPr="003D43CF" w:rsidRDefault="003D43CF" w:rsidP="003D43CF">
      <w:r w:rsidRPr="003D43CF">
        <w:t>Protecting this tree</w:t>
      </w:r>
      <w:r w:rsidRPr="003D43CF">
        <w:noBreakHyphen/>
        <w:t>rich environment aligns with:</w:t>
      </w:r>
    </w:p>
    <w:p w14:paraId="65B50A90" w14:textId="77777777" w:rsidR="003D43CF" w:rsidRPr="003D43CF" w:rsidRDefault="003D43CF" w:rsidP="003D43CF">
      <w:pPr>
        <w:numPr>
          <w:ilvl w:val="0"/>
          <w:numId w:val="1"/>
        </w:numPr>
      </w:pPr>
      <w:r w:rsidRPr="003D43CF">
        <w:rPr>
          <w:b/>
          <w:bCs/>
        </w:rPr>
        <w:t>NPPF (2023) para. 180</w:t>
      </w:r>
      <w:r w:rsidRPr="003D43CF">
        <w:t>, which requires developments to protect and enhance valued landscapes and biodiversity.</w:t>
      </w:r>
    </w:p>
    <w:p w14:paraId="6D6324FB" w14:textId="77777777" w:rsidR="003D43CF" w:rsidRPr="003D43CF" w:rsidRDefault="003D43CF" w:rsidP="003D43CF">
      <w:pPr>
        <w:numPr>
          <w:ilvl w:val="0"/>
          <w:numId w:val="1"/>
        </w:numPr>
      </w:pPr>
      <w:r w:rsidRPr="003D43CF">
        <w:rPr>
          <w:b/>
          <w:bCs/>
        </w:rPr>
        <w:t>Colchester’s Green Infrastructure Strategy</w:t>
      </w:r>
      <w:r w:rsidRPr="003D43CF">
        <w:t>, which emphasises the retention and enhancement of natural features within new development.</w:t>
      </w:r>
    </w:p>
    <w:p w14:paraId="0F8E95E4" w14:textId="77777777" w:rsidR="003D43CF" w:rsidRPr="003D43CF" w:rsidRDefault="003D43CF" w:rsidP="003D43CF">
      <w:pPr>
        <w:numPr>
          <w:ilvl w:val="0"/>
          <w:numId w:val="1"/>
        </w:numPr>
      </w:pPr>
      <w:r w:rsidRPr="003D43CF">
        <w:rPr>
          <w:b/>
          <w:bCs/>
        </w:rPr>
        <w:t>Manual for Streets</w:t>
      </w:r>
      <w:r w:rsidRPr="003D43CF">
        <w:t>, which encourages landscape</w:t>
      </w:r>
      <w:r w:rsidRPr="003D43CF">
        <w:noBreakHyphen/>
        <w:t>led design and green corridors.</w:t>
      </w:r>
    </w:p>
    <w:p w14:paraId="6C190419" w14:textId="77777777" w:rsidR="003D43CF" w:rsidRPr="003D43CF" w:rsidRDefault="003D43CF" w:rsidP="003D43CF">
      <w:r w:rsidRPr="003D43CF">
        <w:t>Any development must therefore retain and integrate this wooded structure as a core design principle.</w:t>
      </w:r>
    </w:p>
    <w:p w14:paraId="16BF1CBC" w14:textId="77777777" w:rsidR="003D43CF" w:rsidRPr="003D43CF" w:rsidRDefault="003D43CF" w:rsidP="003D43CF">
      <w:pPr>
        <w:rPr>
          <w:b/>
          <w:bCs/>
        </w:rPr>
      </w:pPr>
      <w:r w:rsidRPr="003D43CF">
        <w:rPr>
          <w:b/>
          <w:bCs/>
        </w:rPr>
        <w:t>3. Public Rights of Way: Footpaths 7 and 4</w:t>
      </w:r>
    </w:p>
    <w:p w14:paraId="3CBE1045" w14:textId="77777777" w:rsidR="003D43CF" w:rsidRPr="003D43CF" w:rsidRDefault="003D43CF" w:rsidP="003D43CF">
      <w:r w:rsidRPr="003D43CF">
        <w:t>The site is positioned between two important PROW:</w:t>
      </w:r>
    </w:p>
    <w:p w14:paraId="6282F4D7" w14:textId="77777777" w:rsidR="003D43CF" w:rsidRPr="003D43CF" w:rsidRDefault="003D43CF" w:rsidP="003D43CF">
      <w:pPr>
        <w:numPr>
          <w:ilvl w:val="0"/>
          <w:numId w:val="2"/>
        </w:numPr>
      </w:pPr>
      <w:r w:rsidRPr="003D43CF">
        <w:rPr>
          <w:b/>
          <w:bCs/>
        </w:rPr>
        <w:t>Footpath 7</w:t>
      </w:r>
      <w:r w:rsidRPr="003D43CF">
        <w:t>, running to the east</w:t>
      </w:r>
    </w:p>
    <w:p w14:paraId="54F7CAC6" w14:textId="77777777" w:rsidR="003D43CF" w:rsidRPr="003D43CF" w:rsidRDefault="003D43CF" w:rsidP="003D43CF">
      <w:pPr>
        <w:numPr>
          <w:ilvl w:val="0"/>
          <w:numId w:val="2"/>
        </w:numPr>
      </w:pPr>
      <w:r w:rsidRPr="003D43CF">
        <w:rPr>
          <w:b/>
          <w:bCs/>
        </w:rPr>
        <w:t>Footpath 4</w:t>
      </w:r>
      <w:r w:rsidRPr="003D43CF">
        <w:t>, running to the west</w:t>
      </w:r>
    </w:p>
    <w:p w14:paraId="412AF2A2" w14:textId="2F130B38" w:rsidR="003D43CF" w:rsidRPr="003D43CF" w:rsidRDefault="003D43CF" w:rsidP="003D43CF">
      <w:r w:rsidRPr="003D43CF">
        <w:t>These routes provide essential access to the countryside for local residents, dog walkers, cyclists. The network in this area is already limited, and any loss, severance or downgrading would significantly reduce local recreational opportunities.</w:t>
      </w:r>
    </w:p>
    <w:p w14:paraId="27AB0F7D" w14:textId="77777777" w:rsidR="003D43CF" w:rsidRPr="003D43CF" w:rsidRDefault="003D43CF" w:rsidP="003D43CF">
      <w:r w:rsidRPr="003D43CF">
        <w:t>National policy is clear:</w:t>
      </w:r>
    </w:p>
    <w:p w14:paraId="687DF1B2" w14:textId="77777777" w:rsidR="003D43CF" w:rsidRPr="003D43CF" w:rsidRDefault="003D43CF" w:rsidP="003D43CF">
      <w:pPr>
        <w:numPr>
          <w:ilvl w:val="0"/>
          <w:numId w:val="3"/>
        </w:numPr>
      </w:pPr>
      <w:r w:rsidRPr="003D43CF">
        <w:rPr>
          <w:b/>
          <w:bCs/>
        </w:rPr>
        <w:t>NPPF para. 100</w:t>
      </w:r>
      <w:r w:rsidRPr="003D43CF">
        <w:t xml:space="preserve"> requires planning policies to </w:t>
      </w:r>
      <w:r w:rsidRPr="003D43CF">
        <w:rPr>
          <w:i/>
          <w:iCs/>
        </w:rPr>
        <w:t>protect and enhance</w:t>
      </w:r>
      <w:r w:rsidRPr="003D43CF">
        <w:t xml:space="preserve"> PROW and take opportunities to improve facilities for users.</w:t>
      </w:r>
    </w:p>
    <w:p w14:paraId="42AE17D9" w14:textId="77777777" w:rsidR="003D43CF" w:rsidRPr="003D43CF" w:rsidRDefault="003D43CF" w:rsidP="003D43CF">
      <w:pPr>
        <w:numPr>
          <w:ilvl w:val="0"/>
          <w:numId w:val="3"/>
        </w:numPr>
      </w:pPr>
      <w:r w:rsidRPr="003D43CF">
        <w:rPr>
          <w:b/>
          <w:bCs/>
        </w:rPr>
        <w:t>Defra Circular 1/09</w:t>
      </w:r>
      <w:r w:rsidRPr="003D43CF">
        <w:t xml:space="preserve"> emphasises that developments should not reduce PROW connectivity and should seek enhancements wherever possible.</w:t>
      </w:r>
    </w:p>
    <w:p w14:paraId="2BD5C609" w14:textId="77777777" w:rsidR="003D43CF" w:rsidRPr="003D43CF" w:rsidRDefault="003D43CF" w:rsidP="003D43CF">
      <w:pPr>
        <w:rPr>
          <w:b/>
          <w:bCs/>
        </w:rPr>
      </w:pPr>
      <w:r w:rsidRPr="003D43CF">
        <w:rPr>
          <w:b/>
          <w:bCs/>
        </w:rPr>
        <w:t>4. Local Equestrian Use and Economic Value</w:t>
      </w:r>
    </w:p>
    <w:p w14:paraId="431B17D1" w14:textId="77777777" w:rsidR="003D43CF" w:rsidRPr="003D43CF" w:rsidRDefault="003D43CF" w:rsidP="003D43CF">
      <w:r w:rsidRPr="003D43CF">
        <w:t>Two established livery yards lie within close proximity to the site:</w:t>
      </w:r>
    </w:p>
    <w:p w14:paraId="016D90E2" w14:textId="77777777" w:rsidR="003D43CF" w:rsidRPr="003D43CF" w:rsidRDefault="003D43CF" w:rsidP="003D43CF">
      <w:pPr>
        <w:numPr>
          <w:ilvl w:val="0"/>
          <w:numId w:val="4"/>
        </w:numPr>
      </w:pPr>
      <w:r w:rsidRPr="003D43CF">
        <w:rPr>
          <w:b/>
          <w:bCs/>
        </w:rPr>
        <w:t>Scarletts Livery Yard</w:t>
      </w:r>
      <w:r w:rsidRPr="003D43CF">
        <w:t xml:space="preserve"> (north</w:t>
      </w:r>
      <w:r w:rsidRPr="003D43CF">
        <w:noBreakHyphen/>
        <w:t>west)</w:t>
      </w:r>
    </w:p>
    <w:p w14:paraId="635BED6A" w14:textId="77777777" w:rsidR="003D43CF" w:rsidRPr="003D43CF" w:rsidRDefault="003D43CF" w:rsidP="003D43CF">
      <w:pPr>
        <w:numPr>
          <w:ilvl w:val="0"/>
          <w:numId w:val="4"/>
        </w:numPr>
      </w:pPr>
      <w:r w:rsidRPr="003D43CF">
        <w:rPr>
          <w:b/>
          <w:bCs/>
        </w:rPr>
        <w:t>Armoury Farm Livery</w:t>
      </w:r>
      <w:r w:rsidRPr="003D43CF">
        <w:t xml:space="preserve"> (west)</w:t>
      </w:r>
    </w:p>
    <w:p w14:paraId="58AFE801" w14:textId="77777777" w:rsidR="003D43CF" w:rsidRPr="003D43CF" w:rsidRDefault="003D43CF" w:rsidP="003D43CF">
      <w:r w:rsidRPr="003D43CF">
        <w:t>Both rely on the small number of available off</w:t>
      </w:r>
      <w:r w:rsidRPr="003D43CF">
        <w:noBreakHyphen/>
        <w:t xml:space="preserve">road routes for safe hacking. Riding opportunities in this part of Colchester are already constrained, and these yards contribute directly to the </w:t>
      </w:r>
      <w:r w:rsidRPr="003D43CF">
        <w:rPr>
          <w:b/>
          <w:bCs/>
        </w:rPr>
        <w:t>local rural economy</w:t>
      </w:r>
      <w:r w:rsidRPr="003D43CF">
        <w:t xml:space="preserve"> through:</w:t>
      </w:r>
    </w:p>
    <w:p w14:paraId="6F645443" w14:textId="77777777" w:rsidR="003D43CF" w:rsidRPr="003D43CF" w:rsidRDefault="003D43CF" w:rsidP="003D43CF">
      <w:pPr>
        <w:numPr>
          <w:ilvl w:val="0"/>
          <w:numId w:val="5"/>
        </w:numPr>
      </w:pPr>
      <w:r w:rsidRPr="003D43CF">
        <w:t>employment</w:t>
      </w:r>
    </w:p>
    <w:p w14:paraId="77018FBD" w14:textId="77777777" w:rsidR="003D43CF" w:rsidRPr="003D43CF" w:rsidRDefault="003D43CF" w:rsidP="003D43CF">
      <w:pPr>
        <w:numPr>
          <w:ilvl w:val="0"/>
          <w:numId w:val="5"/>
        </w:numPr>
      </w:pPr>
      <w:r w:rsidRPr="003D43CF">
        <w:t>service provision</w:t>
      </w:r>
    </w:p>
    <w:p w14:paraId="11F43A2D" w14:textId="77777777" w:rsidR="003D43CF" w:rsidRPr="003D43CF" w:rsidRDefault="003D43CF" w:rsidP="003D43CF">
      <w:pPr>
        <w:numPr>
          <w:ilvl w:val="0"/>
          <w:numId w:val="5"/>
        </w:numPr>
      </w:pPr>
      <w:r w:rsidRPr="003D43CF">
        <w:t>feed, farrier and veterinary spending</w:t>
      </w:r>
    </w:p>
    <w:p w14:paraId="61689534" w14:textId="77777777" w:rsidR="003D43CF" w:rsidRPr="003D43CF" w:rsidRDefault="003D43CF" w:rsidP="003D43CF">
      <w:pPr>
        <w:numPr>
          <w:ilvl w:val="0"/>
          <w:numId w:val="5"/>
        </w:numPr>
      </w:pPr>
      <w:r w:rsidRPr="003D43CF">
        <w:t>training and equestrian services</w:t>
      </w:r>
    </w:p>
    <w:p w14:paraId="0430E953" w14:textId="77777777" w:rsidR="003D43CF" w:rsidRPr="003D43CF" w:rsidRDefault="003D43CF" w:rsidP="003D43CF">
      <w:pPr>
        <w:numPr>
          <w:ilvl w:val="0"/>
          <w:numId w:val="5"/>
        </w:numPr>
      </w:pPr>
      <w:r w:rsidRPr="003D43CF">
        <w:t>visitor and client activity</w:t>
      </w:r>
    </w:p>
    <w:p w14:paraId="6373CB2C" w14:textId="77777777" w:rsidR="003D43CF" w:rsidRPr="003D43CF" w:rsidRDefault="003D43CF" w:rsidP="003D43CF">
      <w:r w:rsidRPr="003D43CF">
        <w:t>Protecting and enhancing the surrounding PROW network is therefore essential to supporting these businesses and the wider equestrian community.</w:t>
      </w:r>
    </w:p>
    <w:p w14:paraId="6C4655C3" w14:textId="77777777" w:rsidR="003D43CF" w:rsidRPr="003D43CF" w:rsidRDefault="003D43CF" w:rsidP="003D43CF">
      <w:r w:rsidRPr="003D43CF">
        <w:t>This aligns with:</w:t>
      </w:r>
    </w:p>
    <w:p w14:paraId="61550091" w14:textId="77777777" w:rsidR="003D43CF" w:rsidRPr="003D43CF" w:rsidRDefault="003D43CF" w:rsidP="003D43CF">
      <w:pPr>
        <w:numPr>
          <w:ilvl w:val="0"/>
          <w:numId w:val="6"/>
        </w:numPr>
      </w:pPr>
      <w:r w:rsidRPr="003D43CF">
        <w:rPr>
          <w:b/>
          <w:bCs/>
        </w:rPr>
        <w:t>Rural England’s economic evidence</w:t>
      </w:r>
      <w:r w:rsidRPr="003D43CF">
        <w:t>, which identifies equestrian activity as a significant contributor to rural economies.</w:t>
      </w:r>
    </w:p>
    <w:p w14:paraId="150395B7" w14:textId="77777777" w:rsidR="003D43CF" w:rsidRPr="003D43CF" w:rsidRDefault="003D43CF" w:rsidP="003D43CF">
      <w:pPr>
        <w:numPr>
          <w:ilvl w:val="0"/>
          <w:numId w:val="6"/>
        </w:numPr>
      </w:pPr>
      <w:r w:rsidRPr="003D43CF">
        <w:rPr>
          <w:b/>
          <w:bCs/>
        </w:rPr>
        <w:lastRenderedPageBreak/>
        <w:t>British Horse Society (BHS) guidance</w:t>
      </w:r>
      <w:r w:rsidRPr="003D43CF">
        <w:t>, which stresses the need for safe, continuous off</w:t>
      </w:r>
      <w:r w:rsidRPr="003D43CF">
        <w:noBreakHyphen/>
        <w:t>road routes for equestrians.</w:t>
      </w:r>
    </w:p>
    <w:p w14:paraId="12DBE99B" w14:textId="77777777" w:rsidR="003D43CF" w:rsidRPr="003D43CF" w:rsidRDefault="003D43CF" w:rsidP="003D43CF">
      <w:pPr>
        <w:rPr>
          <w:b/>
          <w:bCs/>
        </w:rPr>
      </w:pPr>
      <w:r w:rsidRPr="003D43CF">
        <w:rPr>
          <w:b/>
          <w:bCs/>
        </w:rPr>
        <w:t>5. Opportunity for a Multi-User Route Linking Footpaths 7 and 4</w:t>
      </w:r>
    </w:p>
    <w:p w14:paraId="199D8C45" w14:textId="77777777" w:rsidR="003D43CF" w:rsidRPr="003D43CF" w:rsidRDefault="003D43CF" w:rsidP="003D43CF">
      <w:pPr>
        <w:rPr>
          <w:b/>
          <w:bCs/>
        </w:rPr>
      </w:pPr>
      <w:r w:rsidRPr="003D43CF">
        <w:rPr>
          <w:b/>
          <w:bCs/>
        </w:rPr>
        <w:t>The spatial arrangement of the site and surrounding Public Rights of Way presents a clear opportunity to deliver a dedicated multi-user route through the development. This route should:</w:t>
      </w:r>
    </w:p>
    <w:p w14:paraId="4C1AFCF2" w14:textId="77777777" w:rsidR="003D43CF" w:rsidRPr="003D43CF" w:rsidRDefault="003D43CF" w:rsidP="003D43CF">
      <w:pPr>
        <w:numPr>
          <w:ilvl w:val="0"/>
          <w:numId w:val="10"/>
        </w:numPr>
        <w:rPr>
          <w:b/>
          <w:bCs/>
        </w:rPr>
      </w:pPr>
      <w:r w:rsidRPr="003D43CF">
        <w:rPr>
          <w:b/>
          <w:bCs/>
        </w:rPr>
        <w:t>link Footpath 7 and Footpath 4,</w:t>
      </w:r>
    </w:p>
    <w:p w14:paraId="4266AD80" w14:textId="77777777" w:rsidR="003D43CF" w:rsidRPr="003D43CF" w:rsidRDefault="003D43CF" w:rsidP="003D43CF">
      <w:pPr>
        <w:numPr>
          <w:ilvl w:val="0"/>
          <w:numId w:val="10"/>
        </w:numPr>
        <w:rPr>
          <w:b/>
          <w:bCs/>
        </w:rPr>
      </w:pPr>
      <w:r w:rsidRPr="003D43CF">
        <w:rPr>
          <w:b/>
          <w:bCs/>
        </w:rPr>
        <w:t>retain a rural, green-corridor character,</w:t>
      </w:r>
    </w:p>
    <w:p w14:paraId="781ADC51" w14:textId="77777777" w:rsidR="003D43CF" w:rsidRPr="003D43CF" w:rsidRDefault="003D43CF" w:rsidP="003D43CF">
      <w:pPr>
        <w:numPr>
          <w:ilvl w:val="0"/>
          <w:numId w:val="10"/>
        </w:numPr>
        <w:rPr>
          <w:b/>
          <w:bCs/>
        </w:rPr>
      </w:pPr>
      <w:r w:rsidRPr="003D43CF">
        <w:rPr>
          <w:b/>
          <w:bCs/>
        </w:rPr>
        <w:t>provide safe, inclusive access for walkers, cyclists, and equestrians,</w:t>
      </w:r>
    </w:p>
    <w:p w14:paraId="398300F1" w14:textId="77777777" w:rsidR="003D43CF" w:rsidRPr="003D43CF" w:rsidRDefault="003D43CF" w:rsidP="003D43CF">
      <w:pPr>
        <w:numPr>
          <w:ilvl w:val="0"/>
          <w:numId w:val="10"/>
        </w:numPr>
        <w:rPr>
          <w:b/>
          <w:bCs/>
        </w:rPr>
      </w:pPr>
      <w:r w:rsidRPr="003D43CF">
        <w:rPr>
          <w:b/>
          <w:bCs/>
        </w:rPr>
        <w:t>enhance local connectivity,</w:t>
      </w:r>
    </w:p>
    <w:p w14:paraId="71C7FE95" w14:textId="77777777" w:rsidR="003D43CF" w:rsidRPr="003D43CF" w:rsidRDefault="003D43CF" w:rsidP="003D43CF">
      <w:pPr>
        <w:numPr>
          <w:ilvl w:val="0"/>
          <w:numId w:val="10"/>
        </w:numPr>
        <w:rPr>
          <w:b/>
          <w:bCs/>
        </w:rPr>
      </w:pPr>
      <w:r w:rsidRPr="003D43CF">
        <w:rPr>
          <w:b/>
          <w:bCs/>
        </w:rPr>
        <w:t>support active travel and recreation,</w:t>
      </w:r>
    </w:p>
    <w:p w14:paraId="207E7C96" w14:textId="77777777" w:rsidR="003D43CF" w:rsidRPr="003D43CF" w:rsidRDefault="003D43CF" w:rsidP="003D43CF">
      <w:pPr>
        <w:numPr>
          <w:ilvl w:val="0"/>
          <w:numId w:val="10"/>
        </w:numPr>
        <w:rPr>
          <w:b/>
          <w:bCs/>
        </w:rPr>
      </w:pPr>
      <w:r w:rsidRPr="003D43CF">
        <w:rPr>
          <w:b/>
          <w:bCs/>
        </w:rPr>
        <w:t>and integrate with the site’s existing wooded structure.</w:t>
      </w:r>
    </w:p>
    <w:p w14:paraId="2F7E540B" w14:textId="77777777" w:rsidR="003D43CF" w:rsidRPr="003D43CF" w:rsidRDefault="003D43CF" w:rsidP="003D43CF">
      <w:r w:rsidRPr="003D43CF">
        <w:t>There is a clear opportunity for Footpaths 7 and 4 themselves to be enhanced as multi-user routes, ensuring that the proposed link is inclusive and accessible for all users. By upgrading these footpaths to multi-user status, the new connection would maximize community benefit, support active travel, and align with best practice guidance for countryside access. This approach would help deliver a coherent, safe, and attractive network that meets the needs of all users.</w:t>
      </w:r>
    </w:p>
    <w:p w14:paraId="13BE300C" w14:textId="77777777" w:rsidR="003D43CF" w:rsidRPr="003D43CF" w:rsidRDefault="003D43CF" w:rsidP="003D43CF">
      <w:pPr>
        <w:rPr>
          <w:b/>
          <w:bCs/>
        </w:rPr>
      </w:pPr>
      <w:r w:rsidRPr="003D43CF">
        <w:rPr>
          <w:b/>
          <w:bCs/>
        </w:rPr>
        <w:t>6. Summary and Recommendations</w:t>
      </w:r>
    </w:p>
    <w:p w14:paraId="0245E713" w14:textId="77777777" w:rsidR="003D43CF" w:rsidRPr="003D43CF" w:rsidRDefault="003D43CF" w:rsidP="003D43CF">
      <w:r w:rsidRPr="003D43CF">
        <w:t>The proposed allocation sits within a valuable wooded landscape and is closely linked to two established livery yards that rely on the limited local PROW network. This context creates a strong justification for:</w:t>
      </w:r>
    </w:p>
    <w:p w14:paraId="4EBE658B" w14:textId="77777777" w:rsidR="003D43CF" w:rsidRPr="003D43CF" w:rsidRDefault="003D43CF" w:rsidP="003D43CF">
      <w:pPr>
        <w:numPr>
          <w:ilvl w:val="0"/>
          <w:numId w:val="9"/>
        </w:numPr>
      </w:pPr>
      <w:r w:rsidRPr="003D43CF">
        <w:t>protecting the site’s wooded character</w:t>
      </w:r>
    </w:p>
    <w:p w14:paraId="794A74B0" w14:textId="77777777" w:rsidR="003D43CF" w:rsidRPr="003D43CF" w:rsidRDefault="003D43CF" w:rsidP="003D43CF">
      <w:pPr>
        <w:numPr>
          <w:ilvl w:val="0"/>
          <w:numId w:val="9"/>
        </w:numPr>
      </w:pPr>
      <w:r w:rsidRPr="003D43CF">
        <w:t>safeguarding and enhancing Footpaths 7 and 4</w:t>
      </w:r>
    </w:p>
    <w:p w14:paraId="386B8A0F" w14:textId="77777777" w:rsidR="003D43CF" w:rsidRPr="003D43CF" w:rsidRDefault="003D43CF" w:rsidP="003D43CF">
      <w:pPr>
        <w:numPr>
          <w:ilvl w:val="0"/>
          <w:numId w:val="9"/>
        </w:numPr>
      </w:pPr>
      <w:r w:rsidRPr="003D43CF">
        <w:t>delivering a dedicated multi</w:t>
      </w:r>
      <w:r w:rsidRPr="003D43CF">
        <w:noBreakHyphen/>
        <w:t>user route through the development</w:t>
      </w:r>
    </w:p>
    <w:p w14:paraId="109C40B0" w14:textId="77777777" w:rsidR="003D43CF" w:rsidRPr="003D43CF" w:rsidRDefault="003D43CF" w:rsidP="003D43CF">
      <w:pPr>
        <w:numPr>
          <w:ilvl w:val="0"/>
          <w:numId w:val="9"/>
        </w:numPr>
      </w:pPr>
      <w:r w:rsidRPr="003D43CF">
        <w:t>supporting local equestrian businesses and the rural economy</w:t>
      </w:r>
    </w:p>
    <w:p w14:paraId="556A4E3E" w14:textId="77777777" w:rsidR="003D43CF" w:rsidRPr="003D43CF" w:rsidRDefault="003D43CF" w:rsidP="003D43CF">
      <w:r w:rsidRPr="003D43CF">
        <w:t>These measures would ensure the development contributes positively to local green infrastructure, countryside access and community wellbeing.</w:t>
      </w:r>
    </w:p>
    <w:p w14:paraId="21257017" w14:textId="77777777" w:rsidR="00672E42" w:rsidRDefault="00672E42"/>
    <w:sectPr w:rsidR="00672E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424BD"/>
    <w:multiLevelType w:val="multilevel"/>
    <w:tmpl w:val="210E9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45928"/>
    <w:multiLevelType w:val="multilevel"/>
    <w:tmpl w:val="37AA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B6228E"/>
    <w:multiLevelType w:val="multilevel"/>
    <w:tmpl w:val="BF3E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5511D5"/>
    <w:multiLevelType w:val="multilevel"/>
    <w:tmpl w:val="82A6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CC2F8F"/>
    <w:multiLevelType w:val="multilevel"/>
    <w:tmpl w:val="8012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773FED"/>
    <w:multiLevelType w:val="multilevel"/>
    <w:tmpl w:val="6A0A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6B6B98"/>
    <w:multiLevelType w:val="multilevel"/>
    <w:tmpl w:val="0DB8B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1C7686"/>
    <w:multiLevelType w:val="multilevel"/>
    <w:tmpl w:val="A6AE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203397"/>
    <w:multiLevelType w:val="multilevel"/>
    <w:tmpl w:val="C5F0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C95F8E"/>
    <w:multiLevelType w:val="multilevel"/>
    <w:tmpl w:val="327E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9002610">
    <w:abstractNumId w:val="6"/>
  </w:num>
  <w:num w:numId="2" w16cid:durableId="1706099588">
    <w:abstractNumId w:val="9"/>
  </w:num>
  <w:num w:numId="3" w16cid:durableId="1021053737">
    <w:abstractNumId w:val="0"/>
  </w:num>
  <w:num w:numId="4" w16cid:durableId="2074767607">
    <w:abstractNumId w:val="7"/>
  </w:num>
  <w:num w:numId="5" w16cid:durableId="1833646154">
    <w:abstractNumId w:val="1"/>
  </w:num>
  <w:num w:numId="6" w16cid:durableId="372577565">
    <w:abstractNumId w:val="4"/>
  </w:num>
  <w:num w:numId="7" w16cid:durableId="1896621443">
    <w:abstractNumId w:val="2"/>
  </w:num>
  <w:num w:numId="8" w16cid:durableId="1893419841">
    <w:abstractNumId w:val="5"/>
  </w:num>
  <w:num w:numId="9" w16cid:durableId="950819411">
    <w:abstractNumId w:val="8"/>
  </w:num>
  <w:num w:numId="10" w16cid:durableId="2050108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3CF"/>
    <w:rsid w:val="000557FB"/>
    <w:rsid w:val="003D43CF"/>
    <w:rsid w:val="005459D7"/>
    <w:rsid w:val="00573147"/>
    <w:rsid w:val="00672E42"/>
    <w:rsid w:val="00872330"/>
    <w:rsid w:val="00FD4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A500B"/>
  <w15:chartTrackingRefBased/>
  <w15:docId w15:val="{666B69F3-2F3B-4788-992B-6456D3C4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43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43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43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43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43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43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43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43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43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3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43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43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43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43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43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43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43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43CF"/>
    <w:rPr>
      <w:rFonts w:eastAsiaTheme="majorEastAsia" w:cstheme="majorBidi"/>
      <w:color w:val="272727" w:themeColor="text1" w:themeTint="D8"/>
    </w:rPr>
  </w:style>
  <w:style w:type="paragraph" w:styleId="Title">
    <w:name w:val="Title"/>
    <w:basedOn w:val="Normal"/>
    <w:next w:val="Normal"/>
    <w:link w:val="TitleChar"/>
    <w:uiPriority w:val="10"/>
    <w:qFormat/>
    <w:rsid w:val="003D43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3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3C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43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43C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D43CF"/>
    <w:rPr>
      <w:i/>
      <w:iCs/>
      <w:color w:val="404040" w:themeColor="text1" w:themeTint="BF"/>
    </w:rPr>
  </w:style>
  <w:style w:type="paragraph" w:styleId="ListParagraph">
    <w:name w:val="List Paragraph"/>
    <w:basedOn w:val="Normal"/>
    <w:uiPriority w:val="34"/>
    <w:qFormat/>
    <w:rsid w:val="003D43CF"/>
    <w:pPr>
      <w:ind w:left="720"/>
      <w:contextualSpacing/>
    </w:pPr>
  </w:style>
  <w:style w:type="character" w:styleId="IntenseEmphasis">
    <w:name w:val="Intense Emphasis"/>
    <w:basedOn w:val="DefaultParagraphFont"/>
    <w:uiPriority w:val="21"/>
    <w:qFormat/>
    <w:rsid w:val="003D43CF"/>
    <w:rPr>
      <w:i/>
      <w:iCs/>
      <w:color w:val="0F4761" w:themeColor="accent1" w:themeShade="BF"/>
    </w:rPr>
  </w:style>
  <w:style w:type="paragraph" w:styleId="IntenseQuote">
    <w:name w:val="Intense Quote"/>
    <w:basedOn w:val="Normal"/>
    <w:next w:val="Normal"/>
    <w:link w:val="IntenseQuoteChar"/>
    <w:uiPriority w:val="30"/>
    <w:qFormat/>
    <w:rsid w:val="003D43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43CF"/>
    <w:rPr>
      <w:i/>
      <w:iCs/>
      <w:color w:val="0F4761" w:themeColor="accent1" w:themeShade="BF"/>
    </w:rPr>
  </w:style>
  <w:style w:type="character" w:styleId="IntenseReference">
    <w:name w:val="Intense Reference"/>
    <w:basedOn w:val="DefaultParagraphFont"/>
    <w:uiPriority w:val="32"/>
    <w:qFormat/>
    <w:rsid w:val="003D43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3879</Characters>
  <Application>Microsoft Office Word</Application>
  <DocSecurity>0</DocSecurity>
  <Lines>79</Lines>
  <Paragraphs>60</Paragraphs>
  <ScaleCrop>false</ScaleCrop>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mcmanus</dc:creator>
  <cp:keywords/>
  <dc:description/>
  <cp:lastModifiedBy>sally mcmanus</cp:lastModifiedBy>
  <cp:revision>1</cp:revision>
  <dcterms:created xsi:type="dcterms:W3CDTF">2026-01-12T12:03:00Z</dcterms:created>
  <dcterms:modified xsi:type="dcterms:W3CDTF">2026-01-12T12:09:00Z</dcterms:modified>
</cp:coreProperties>
</file>