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B2E2" w14:textId="5B53F35D" w:rsidR="000A3559" w:rsidRDefault="000A3559" w:rsidP="000A3559">
      <w:pPr>
        <w:rPr>
          <w:b/>
          <w:bCs/>
        </w:rPr>
      </w:pPr>
      <w:r w:rsidRPr="000A3559">
        <w:rPr>
          <w:b/>
          <w:bCs/>
        </w:rPr>
        <w:t xml:space="preserve">Supporting Document </w:t>
      </w:r>
      <w:r>
        <w:rPr>
          <w:b/>
          <w:bCs/>
        </w:rPr>
        <w:t>for PP43:</w:t>
      </w:r>
    </w:p>
    <w:p w14:paraId="6990C119" w14:textId="77777777" w:rsidR="000A3559" w:rsidRPr="000A3559" w:rsidRDefault="000A3559" w:rsidP="000A3559">
      <w:pPr>
        <w:rPr>
          <w:b/>
          <w:bCs/>
        </w:rPr>
      </w:pPr>
    </w:p>
    <w:p w14:paraId="70ED355B" w14:textId="77777777" w:rsidR="000A3559" w:rsidRPr="000A3559" w:rsidRDefault="000A3559" w:rsidP="000A3559">
      <w:pPr>
        <w:rPr>
          <w:b/>
          <w:bCs/>
        </w:rPr>
      </w:pPr>
      <w:r w:rsidRPr="000A3559">
        <w:rPr>
          <w:b/>
          <w:bCs/>
        </w:rPr>
        <w:t>1. Introduction</w:t>
      </w:r>
    </w:p>
    <w:p w14:paraId="5724D92C" w14:textId="77777777" w:rsidR="000A3559" w:rsidRPr="000A3559" w:rsidRDefault="000A3559" w:rsidP="000A3559">
      <w:r w:rsidRPr="000A3559">
        <w:t>This statement provides supporting evidence regarding the cumulative impact of the three proposed allocations in this part of north Colchester — including the site south of White Hart Lane, the adjacent parcel, and the allocation off the B1508. Taken together, these sites form a continuous landscape block whose development will significantly affect the rural setting, local access network and the neighbouring village. A coordinated, strategic approach is therefore essential to ensure that development delivers meaningful public benefit.</w:t>
      </w:r>
    </w:p>
    <w:p w14:paraId="3BAC433A" w14:textId="77777777" w:rsidR="000A3559" w:rsidRPr="000A3559" w:rsidRDefault="000A3559" w:rsidP="000A3559">
      <w:pPr>
        <w:rPr>
          <w:b/>
          <w:bCs/>
        </w:rPr>
      </w:pPr>
      <w:r w:rsidRPr="000A3559">
        <w:rPr>
          <w:b/>
          <w:bCs/>
        </w:rPr>
        <w:t>2. Landscape Character and Green Infrastructure</w:t>
      </w:r>
    </w:p>
    <w:p w14:paraId="5A9BE488" w14:textId="77777777" w:rsidR="000A3559" w:rsidRPr="000A3559" w:rsidRDefault="000A3559" w:rsidP="000A3559">
      <w:r w:rsidRPr="000A3559">
        <w:t xml:space="preserve">The landscape across all three allocations is defined by </w:t>
      </w:r>
      <w:r w:rsidRPr="000A3559">
        <w:rPr>
          <w:b/>
          <w:bCs/>
        </w:rPr>
        <w:t>tree</w:t>
      </w:r>
      <w:r w:rsidRPr="000A3559">
        <w:rPr>
          <w:b/>
          <w:bCs/>
        </w:rPr>
        <w:noBreakHyphen/>
        <w:t>rich, wooded areas</w:t>
      </w:r>
      <w:r w:rsidRPr="000A3559">
        <w:t>, mature hedgerows and established green corridors. This natural structure contributes to the rural character of the area and provides ecological value, visual screening and a high</w:t>
      </w:r>
      <w:r w:rsidRPr="000A3559">
        <w:noBreakHyphen/>
        <w:t>quality setting for local Public Rights of Way (PROW).</w:t>
      </w:r>
    </w:p>
    <w:p w14:paraId="299B14CB" w14:textId="77777777" w:rsidR="000A3559" w:rsidRPr="000A3559" w:rsidRDefault="000A3559" w:rsidP="000A3559">
      <w:r w:rsidRPr="000A3559">
        <w:t>Protecting and integrating this wooded character aligns with:</w:t>
      </w:r>
    </w:p>
    <w:p w14:paraId="3D796BFD" w14:textId="77777777" w:rsidR="000A3559" w:rsidRPr="000A3559" w:rsidRDefault="000A3559" w:rsidP="000A3559">
      <w:pPr>
        <w:numPr>
          <w:ilvl w:val="0"/>
          <w:numId w:val="1"/>
        </w:numPr>
      </w:pPr>
      <w:r w:rsidRPr="000A3559">
        <w:rPr>
          <w:b/>
          <w:bCs/>
        </w:rPr>
        <w:t>NPPF para. 180</w:t>
      </w:r>
      <w:r w:rsidRPr="000A3559">
        <w:t xml:space="preserve"> (valued landscapes and biodiversity)</w:t>
      </w:r>
    </w:p>
    <w:p w14:paraId="7630A43F" w14:textId="77777777" w:rsidR="000A3559" w:rsidRPr="000A3559" w:rsidRDefault="000A3559" w:rsidP="000A3559">
      <w:pPr>
        <w:numPr>
          <w:ilvl w:val="0"/>
          <w:numId w:val="1"/>
        </w:numPr>
      </w:pPr>
      <w:r w:rsidRPr="000A3559">
        <w:rPr>
          <w:b/>
          <w:bCs/>
        </w:rPr>
        <w:t>Colchester’s Green Infrastructure Strategy</w:t>
      </w:r>
      <w:r w:rsidRPr="000A3559">
        <w:t xml:space="preserve"> (retention and enhancement of natural features)</w:t>
      </w:r>
    </w:p>
    <w:p w14:paraId="4319EED6" w14:textId="77777777" w:rsidR="000A3559" w:rsidRPr="000A3559" w:rsidRDefault="000A3559" w:rsidP="000A3559">
      <w:pPr>
        <w:numPr>
          <w:ilvl w:val="0"/>
          <w:numId w:val="1"/>
        </w:numPr>
      </w:pPr>
      <w:r w:rsidRPr="000A3559">
        <w:rPr>
          <w:b/>
          <w:bCs/>
        </w:rPr>
        <w:t>Manual for Streets</w:t>
      </w:r>
      <w:r w:rsidRPr="000A3559">
        <w:t xml:space="preserve"> (landscape</w:t>
      </w:r>
      <w:r w:rsidRPr="000A3559">
        <w:noBreakHyphen/>
        <w:t>led design and green corridors)</w:t>
      </w:r>
    </w:p>
    <w:p w14:paraId="54EC5B96" w14:textId="77777777" w:rsidR="000A3559" w:rsidRPr="000A3559" w:rsidRDefault="000A3559" w:rsidP="000A3559">
      <w:r w:rsidRPr="000A3559">
        <w:t>Any development across these sites must therefore be planned in a way that respects and strengthens this green infrastructure.</w:t>
      </w:r>
    </w:p>
    <w:p w14:paraId="0A826D27" w14:textId="77777777" w:rsidR="000A3559" w:rsidRPr="000A3559" w:rsidRDefault="000A3559" w:rsidP="000A3559">
      <w:pPr>
        <w:rPr>
          <w:b/>
          <w:bCs/>
        </w:rPr>
      </w:pPr>
      <w:r w:rsidRPr="000A3559">
        <w:rPr>
          <w:b/>
          <w:bCs/>
        </w:rPr>
        <w:t>3. Cumulative Impact on the Village and Local Access</w:t>
      </w:r>
    </w:p>
    <w:p w14:paraId="48A2149C" w14:textId="77777777" w:rsidR="000A3559" w:rsidRPr="000A3559" w:rsidRDefault="000A3559" w:rsidP="000A3559">
      <w:r w:rsidRPr="000A3559">
        <w:t xml:space="preserve">The allocation off the </w:t>
      </w:r>
      <w:r w:rsidRPr="000A3559">
        <w:rPr>
          <w:b/>
          <w:bCs/>
        </w:rPr>
        <w:t>B1508</w:t>
      </w:r>
      <w:r w:rsidRPr="000A3559">
        <w:t xml:space="preserve"> is particularly sensitive, with the potential to erode the village’s rural character, increase traffic pressure and reduce access to the countryside. When combined with the two adjacent sites, the cumulative effect is substantial.</w:t>
      </w:r>
    </w:p>
    <w:p w14:paraId="0CFD7B4B" w14:textId="77777777" w:rsidR="000A3559" w:rsidRPr="000A3559" w:rsidRDefault="000A3559" w:rsidP="000A3559">
      <w:r w:rsidRPr="000A3559">
        <w:t xml:space="preserve">The local PROW network is already limited, with </w:t>
      </w:r>
      <w:r w:rsidRPr="000A3559">
        <w:rPr>
          <w:b/>
          <w:bCs/>
        </w:rPr>
        <w:t>Footpaths 7 and 4</w:t>
      </w:r>
      <w:r w:rsidRPr="000A3559">
        <w:t xml:space="preserve"> providing the primary east–west access routes. Without strategic planning, development risks severing or downgrading these paths, contrary to:</w:t>
      </w:r>
    </w:p>
    <w:p w14:paraId="736F9ED2" w14:textId="77777777" w:rsidR="000A3559" w:rsidRPr="000A3559" w:rsidRDefault="000A3559" w:rsidP="000A3559">
      <w:pPr>
        <w:numPr>
          <w:ilvl w:val="0"/>
          <w:numId w:val="2"/>
        </w:numPr>
      </w:pPr>
      <w:r w:rsidRPr="000A3559">
        <w:rPr>
          <w:b/>
          <w:bCs/>
        </w:rPr>
        <w:t>NPPF para. 100</w:t>
      </w:r>
      <w:r w:rsidRPr="000A3559">
        <w:t xml:space="preserve"> (protect and enhance PROW)</w:t>
      </w:r>
    </w:p>
    <w:p w14:paraId="1C2CCF6F" w14:textId="77777777" w:rsidR="000A3559" w:rsidRPr="000A3559" w:rsidRDefault="000A3559" w:rsidP="000A3559">
      <w:pPr>
        <w:numPr>
          <w:ilvl w:val="0"/>
          <w:numId w:val="2"/>
        </w:numPr>
      </w:pPr>
      <w:r w:rsidRPr="000A3559">
        <w:rPr>
          <w:b/>
          <w:bCs/>
        </w:rPr>
        <w:t>Defra Circular 1/09</w:t>
      </w:r>
      <w:r w:rsidRPr="000A3559">
        <w:t xml:space="preserve"> (no loss of connectivity; seek improvements)</w:t>
      </w:r>
    </w:p>
    <w:p w14:paraId="7E1E9396" w14:textId="77777777" w:rsidR="000A3559" w:rsidRPr="000A3559" w:rsidRDefault="000A3559" w:rsidP="000A3559">
      <w:pPr>
        <w:rPr>
          <w:b/>
          <w:bCs/>
        </w:rPr>
      </w:pPr>
      <w:r w:rsidRPr="000A3559">
        <w:rPr>
          <w:b/>
          <w:bCs/>
        </w:rPr>
        <w:t>4. Local Equestrian Use and Rural Economic Value</w:t>
      </w:r>
    </w:p>
    <w:p w14:paraId="7610DF85" w14:textId="77777777" w:rsidR="000A3559" w:rsidRPr="000A3559" w:rsidRDefault="000A3559" w:rsidP="000A3559">
      <w:r w:rsidRPr="000A3559">
        <w:t xml:space="preserve">Two established livery yards — </w:t>
      </w:r>
      <w:r w:rsidRPr="000A3559">
        <w:rPr>
          <w:b/>
          <w:bCs/>
        </w:rPr>
        <w:t>Scarletts</w:t>
      </w:r>
      <w:r w:rsidRPr="000A3559">
        <w:t xml:space="preserve"> and </w:t>
      </w:r>
      <w:r w:rsidRPr="000A3559">
        <w:rPr>
          <w:b/>
          <w:bCs/>
        </w:rPr>
        <w:t>Armoury Farm</w:t>
      </w:r>
      <w:r w:rsidRPr="000A3559">
        <w:t xml:space="preserve"> — lie within close proximity to the cluster of allocations. Both rely on the small number of available off</w:t>
      </w:r>
      <w:r w:rsidRPr="000A3559">
        <w:noBreakHyphen/>
        <w:t xml:space="preserve">road routes for safe hacking. Riding opportunities in this area are already constrained, and these yards contribute directly to the </w:t>
      </w:r>
      <w:r w:rsidRPr="000A3559">
        <w:rPr>
          <w:b/>
          <w:bCs/>
        </w:rPr>
        <w:t>local rural economy</w:t>
      </w:r>
      <w:r w:rsidRPr="000A3559">
        <w:t xml:space="preserve"> through employment, service provision and associated spending.</w:t>
      </w:r>
    </w:p>
    <w:p w14:paraId="005BDF3E" w14:textId="77777777" w:rsidR="000A3559" w:rsidRPr="000A3559" w:rsidRDefault="000A3559" w:rsidP="000A3559">
      <w:r w:rsidRPr="000A3559">
        <w:t>Protecting and enhancing the surrounding PROW network is therefore essential to supporting these businesses and the wider equestrian community. This aligns with:</w:t>
      </w:r>
    </w:p>
    <w:p w14:paraId="5F8FEC9E" w14:textId="77777777" w:rsidR="000A3559" w:rsidRPr="000A3559" w:rsidRDefault="000A3559" w:rsidP="000A3559">
      <w:pPr>
        <w:numPr>
          <w:ilvl w:val="0"/>
          <w:numId w:val="3"/>
        </w:numPr>
      </w:pPr>
      <w:r w:rsidRPr="000A3559">
        <w:rPr>
          <w:b/>
          <w:bCs/>
        </w:rPr>
        <w:t>British Horse Society (BHS) guidance</w:t>
      </w:r>
      <w:r w:rsidRPr="000A3559">
        <w:t xml:space="preserve"> on safe, continuous off</w:t>
      </w:r>
      <w:r w:rsidRPr="000A3559">
        <w:noBreakHyphen/>
        <w:t>road routes</w:t>
      </w:r>
    </w:p>
    <w:p w14:paraId="2F7551DA" w14:textId="77777777" w:rsidR="000A3559" w:rsidRPr="000A3559" w:rsidRDefault="000A3559" w:rsidP="000A3559">
      <w:pPr>
        <w:numPr>
          <w:ilvl w:val="0"/>
          <w:numId w:val="3"/>
        </w:numPr>
      </w:pPr>
      <w:r w:rsidRPr="000A3559">
        <w:rPr>
          <w:b/>
          <w:bCs/>
        </w:rPr>
        <w:t>Rural England economic evidence</w:t>
      </w:r>
      <w:r w:rsidRPr="000A3559">
        <w:t xml:space="preserve"> on the value of equestrian activity to rural economies</w:t>
      </w:r>
    </w:p>
    <w:p w14:paraId="42D1E200" w14:textId="77777777" w:rsidR="000A3559" w:rsidRPr="000A3559" w:rsidRDefault="000A3559" w:rsidP="000A3559">
      <w:pPr>
        <w:rPr>
          <w:b/>
          <w:bCs/>
        </w:rPr>
      </w:pPr>
      <w:r w:rsidRPr="000A3559">
        <w:rPr>
          <w:b/>
          <w:bCs/>
        </w:rPr>
        <w:t>5. Opportunity for a Strategic Multi</w:t>
      </w:r>
      <w:r w:rsidRPr="000A3559">
        <w:rPr>
          <w:b/>
          <w:bCs/>
        </w:rPr>
        <w:noBreakHyphen/>
        <w:t>User Route</w:t>
      </w:r>
    </w:p>
    <w:p w14:paraId="08D7F09F" w14:textId="77777777" w:rsidR="000A3559" w:rsidRPr="000A3559" w:rsidRDefault="000A3559" w:rsidP="000A3559">
      <w:r w:rsidRPr="000A3559">
        <w:t xml:space="preserve">Given the scale and proximity of the three allocations, there must be a </w:t>
      </w:r>
      <w:r w:rsidRPr="000A3559">
        <w:rPr>
          <w:b/>
          <w:bCs/>
        </w:rPr>
        <w:t>positive trade</w:t>
      </w:r>
      <w:r w:rsidRPr="000A3559">
        <w:rPr>
          <w:b/>
          <w:bCs/>
        </w:rPr>
        <w:noBreakHyphen/>
        <w:t>off</w:t>
      </w:r>
      <w:r w:rsidRPr="000A3559">
        <w:t xml:space="preserve"> that delivers genuine community benefit. The most effective and achievable opportunity is the creation of a </w:t>
      </w:r>
      <w:r w:rsidRPr="000A3559">
        <w:rPr>
          <w:b/>
          <w:bCs/>
        </w:rPr>
        <w:t>strategic multi</w:t>
      </w:r>
      <w:r w:rsidRPr="000A3559">
        <w:rPr>
          <w:b/>
          <w:bCs/>
        </w:rPr>
        <w:noBreakHyphen/>
        <w:t>user access network</w:t>
      </w:r>
      <w:r w:rsidRPr="000A3559">
        <w:t xml:space="preserve"> running </w:t>
      </w:r>
      <w:r w:rsidRPr="000A3559">
        <w:rPr>
          <w:i/>
          <w:iCs/>
        </w:rPr>
        <w:t>around and between</w:t>
      </w:r>
      <w:r w:rsidRPr="000A3559">
        <w:t xml:space="preserve"> all three sites.</w:t>
      </w:r>
    </w:p>
    <w:p w14:paraId="5F36B656" w14:textId="77777777" w:rsidR="000A3559" w:rsidRPr="000A3559" w:rsidRDefault="000A3559" w:rsidP="000A3559">
      <w:r w:rsidRPr="000A3559">
        <w:t>This network should:</w:t>
      </w:r>
    </w:p>
    <w:p w14:paraId="50FDF262" w14:textId="145A19D9" w:rsidR="000A3559" w:rsidRPr="000A3559" w:rsidRDefault="000A3559" w:rsidP="000A3559">
      <w:pPr>
        <w:numPr>
          <w:ilvl w:val="0"/>
          <w:numId w:val="4"/>
        </w:numPr>
      </w:pPr>
      <w:r>
        <w:t xml:space="preserve">Link current footpaths </w:t>
      </w:r>
    </w:p>
    <w:p w14:paraId="39487E15" w14:textId="77777777" w:rsidR="000A3559" w:rsidRPr="000A3559" w:rsidRDefault="000A3559" w:rsidP="000A3559">
      <w:pPr>
        <w:numPr>
          <w:ilvl w:val="0"/>
          <w:numId w:val="4"/>
        </w:numPr>
      </w:pPr>
      <w:r w:rsidRPr="000A3559">
        <w:t>provide safe, inclusive access for walkers, cyclists and equestrians</w:t>
      </w:r>
    </w:p>
    <w:p w14:paraId="2D19B55C" w14:textId="77777777" w:rsidR="000A3559" w:rsidRPr="000A3559" w:rsidRDefault="000A3559" w:rsidP="000A3559">
      <w:pPr>
        <w:numPr>
          <w:ilvl w:val="0"/>
          <w:numId w:val="4"/>
        </w:numPr>
      </w:pPr>
      <w:r w:rsidRPr="000A3559">
        <w:t>create circular routes and green corridors</w:t>
      </w:r>
    </w:p>
    <w:p w14:paraId="4E4F5A12" w14:textId="77777777" w:rsidR="000A3559" w:rsidRPr="000A3559" w:rsidRDefault="000A3559" w:rsidP="000A3559">
      <w:pPr>
        <w:numPr>
          <w:ilvl w:val="0"/>
          <w:numId w:val="4"/>
        </w:numPr>
      </w:pPr>
      <w:r w:rsidRPr="000A3559">
        <w:t>retain the wooded, rural character of the landscape</w:t>
      </w:r>
    </w:p>
    <w:p w14:paraId="553F4199" w14:textId="77777777" w:rsidR="000A3559" w:rsidRPr="000A3559" w:rsidRDefault="000A3559" w:rsidP="000A3559">
      <w:pPr>
        <w:numPr>
          <w:ilvl w:val="0"/>
          <w:numId w:val="4"/>
        </w:numPr>
      </w:pPr>
      <w:r w:rsidRPr="000A3559">
        <w:t>mitigate the cumulative impact of development</w:t>
      </w:r>
    </w:p>
    <w:p w14:paraId="76C47B59" w14:textId="77777777" w:rsidR="000A3559" w:rsidRPr="000A3559" w:rsidRDefault="000A3559" w:rsidP="000A3559">
      <w:pPr>
        <w:numPr>
          <w:ilvl w:val="0"/>
          <w:numId w:val="4"/>
        </w:numPr>
      </w:pPr>
      <w:r w:rsidRPr="000A3559">
        <w:lastRenderedPageBreak/>
        <w:t>support active travel and community wellbeing</w:t>
      </w:r>
    </w:p>
    <w:p w14:paraId="6ABCED55" w14:textId="77777777" w:rsidR="000A3559" w:rsidRPr="000A3559" w:rsidRDefault="000A3559" w:rsidP="000A3559">
      <w:r w:rsidRPr="000A3559">
        <w:t xml:space="preserve">Such provision would deliver a </w:t>
      </w:r>
      <w:r w:rsidRPr="000A3559">
        <w:rPr>
          <w:b/>
          <w:bCs/>
        </w:rPr>
        <w:t>net gain in connectivity</w:t>
      </w:r>
      <w:r w:rsidRPr="000A3559">
        <w:t>, strengthen local green infrastructure and provide a tangible benefit that offsets the significant pressures created by developing three adjacent parcels, including the highly sensitive B1508 site.</w:t>
      </w:r>
    </w:p>
    <w:p w14:paraId="6CE9B436" w14:textId="77777777" w:rsidR="000A3559" w:rsidRPr="000A3559" w:rsidRDefault="000A3559" w:rsidP="000A3559">
      <w:pPr>
        <w:rPr>
          <w:b/>
          <w:bCs/>
        </w:rPr>
      </w:pPr>
      <w:r w:rsidRPr="000A3559">
        <w:rPr>
          <w:b/>
          <w:bCs/>
        </w:rPr>
        <w:t>6. Summary</w:t>
      </w:r>
    </w:p>
    <w:p w14:paraId="5CB36FC1" w14:textId="0FB4C890" w:rsidR="000A3559" w:rsidRPr="000A3559" w:rsidRDefault="000A3559" w:rsidP="000A3559">
      <w:r w:rsidRPr="000A3559">
        <w:t>The three allocations will have a major cumulative impact on the rural landscape and the neighbouring village. A coordinated, landscape</w:t>
      </w:r>
      <w:r w:rsidRPr="000A3559">
        <w:noBreakHyphen/>
        <w:t>led approach is essential. A strategic multi</w:t>
      </w:r>
      <w:r w:rsidRPr="000A3559">
        <w:noBreakHyphen/>
        <w:t>user route linking Footpaths</w:t>
      </w:r>
      <w:r>
        <w:t xml:space="preserve"> and creating multi user routes</w:t>
      </w:r>
      <w:r w:rsidRPr="000A3559">
        <w:t xml:space="preserve"> connecting all three sites </w:t>
      </w:r>
      <w:r>
        <w:t xml:space="preserve">to </w:t>
      </w:r>
      <w:r w:rsidRPr="000A3559">
        <w:t>offer a clear, deliverable public benefit that supports local access, the rural economy and the area’s green infrastructure.</w:t>
      </w:r>
    </w:p>
    <w:p w14:paraId="1B67B2F5"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5D7"/>
    <w:multiLevelType w:val="multilevel"/>
    <w:tmpl w:val="DCE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4B2A"/>
    <w:multiLevelType w:val="multilevel"/>
    <w:tmpl w:val="9048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A73A2"/>
    <w:multiLevelType w:val="multilevel"/>
    <w:tmpl w:val="DC0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4403F"/>
    <w:multiLevelType w:val="multilevel"/>
    <w:tmpl w:val="C406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46935">
    <w:abstractNumId w:val="1"/>
  </w:num>
  <w:num w:numId="2" w16cid:durableId="1840074146">
    <w:abstractNumId w:val="3"/>
  </w:num>
  <w:num w:numId="3" w16cid:durableId="332874484">
    <w:abstractNumId w:val="0"/>
  </w:num>
  <w:num w:numId="4" w16cid:durableId="40364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59"/>
    <w:rsid w:val="000557FB"/>
    <w:rsid w:val="000A3559"/>
    <w:rsid w:val="005459D7"/>
    <w:rsid w:val="00672E42"/>
    <w:rsid w:val="00872330"/>
    <w:rsid w:val="009F5C1D"/>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CADB"/>
  <w15:chartTrackingRefBased/>
  <w15:docId w15:val="{279615D7-0BF9-4A5A-9689-A3B0C39D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59"/>
    <w:rPr>
      <w:rFonts w:eastAsiaTheme="majorEastAsia" w:cstheme="majorBidi"/>
      <w:color w:val="272727" w:themeColor="text1" w:themeTint="D8"/>
    </w:rPr>
  </w:style>
  <w:style w:type="paragraph" w:styleId="Title">
    <w:name w:val="Title"/>
    <w:basedOn w:val="Normal"/>
    <w:next w:val="Normal"/>
    <w:link w:val="TitleChar"/>
    <w:uiPriority w:val="10"/>
    <w:qFormat/>
    <w:rsid w:val="000A3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559"/>
    <w:rPr>
      <w:i/>
      <w:iCs/>
      <w:color w:val="404040" w:themeColor="text1" w:themeTint="BF"/>
    </w:rPr>
  </w:style>
  <w:style w:type="paragraph" w:styleId="ListParagraph">
    <w:name w:val="List Paragraph"/>
    <w:basedOn w:val="Normal"/>
    <w:uiPriority w:val="34"/>
    <w:qFormat/>
    <w:rsid w:val="000A3559"/>
    <w:pPr>
      <w:ind w:left="720"/>
      <w:contextualSpacing/>
    </w:pPr>
  </w:style>
  <w:style w:type="character" w:styleId="IntenseEmphasis">
    <w:name w:val="Intense Emphasis"/>
    <w:basedOn w:val="DefaultParagraphFont"/>
    <w:uiPriority w:val="21"/>
    <w:qFormat/>
    <w:rsid w:val="000A3559"/>
    <w:rPr>
      <w:i/>
      <w:iCs/>
      <w:color w:val="0F4761" w:themeColor="accent1" w:themeShade="BF"/>
    </w:rPr>
  </w:style>
  <w:style w:type="paragraph" w:styleId="IntenseQuote">
    <w:name w:val="Intense Quote"/>
    <w:basedOn w:val="Normal"/>
    <w:next w:val="Normal"/>
    <w:link w:val="IntenseQuoteChar"/>
    <w:uiPriority w:val="30"/>
    <w:qFormat/>
    <w:rsid w:val="000A3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559"/>
    <w:rPr>
      <w:i/>
      <w:iCs/>
      <w:color w:val="0F4761" w:themeColor="accent1" w:themeShade="BF"/>
    </w:rPr>
  </w:style>
  <w:style w:type="character" w:styleId="IntenseReference">
    <w:name w:val="Intense Reference"/>
    <w:basedOn w:val="DefaultParagraphFont"/>
    <w:uiPriority w:val="32"/>
    <w:qFormat/>
    <w:rsid w:val="000A3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3442</Characters>
  <Application>Microsoft Office Word</Application>
  <DocSecurity>0</DocSecurity>
  <Lines>60</Lines>
  <Paragraphs>37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1</cp:revision>
  <dcterms:created xsi:type="dcterms:W3CDTF">2026-01-12T12:26:00Z</dcterms:created>
  <dcterms:modified xsi:type="dcterms:W3CDTF">2026-01-12T12:29:00Z</dcterms:modified>
</cp:coreProperties>
</file>