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6823E" w14:textId="08A71432" w:rsidR="00C4100E" w:rsidRDefault="00C4100E">
      <w:pPr>
        <w:rPr>
          <w:b/>
          <w:sz w:val="28"/>
          <w:szCs w:val="28"/>
        </w:rPr>
      </w:pPr>
      <w:r>
        <w:rPr>
          <w:b/>
          <w:sz w:val="28"/>
          <w:szCs w:val="28"/>
        </w:rPr>
        <w:t>Langham Parish Council Response to Regulation 18 Local Plan Consultation: APPENDIX 9</w:t>
      </w:r>
    </w:p>
    <w:p w14:paraId="478E05B5" w14:textId="03DBCD6C" w:rsidR="00AC57B2" w:rsidRPr="00B61578" w:rsidRDefault="0036544C">
      <w:pPr>
        <w:rPr>
          <w:b/>
          <w:sz w:val="28"/>
          <w:szCs w:val="28"/>
        </w:rPr>
      </w:pPr>
      <w:r w:rsidRPr="00B61578">
        <w:rPr>
          <w:b/>
          <w:sz w:val="28"/>
          <w:szCs w:val="28"/>
        </w:rPr>
        <w:t xml:space="preserve">Langham Sewerage </w:t>
      </w:r>
      <w:r w:rsidR="004361EC" w:rsidRPr="00B61578">
        <w:rPr>
          <w:b/>
          <w:sz w:val="28"/>
          <w:szCs w:val="28"/>
        </w:rPr>
        <w:t xml:space="preserve">&amp; Surface Water Drainage </w:t>
      </w:r>
      <w:r w:rsidRPr="00B61578">
        <w:rPr>
          <w:b/>
          <w:sz w:val="28"/>
          <w:szCs w:val="28"/>
        </w:rPr>
        <w:t>Report</w:t>
      </w:r>
    </w:p>
    <w:p w14:paraId="226469A6" w14:textId="77777777" w:rsidR="00C4100E" w:rsidRDefault="00C4100E">
      <w:pPr>
        <w:rPr>
          <w:b/>
        </w:rPr>
      </w:pPr>
    </w:p>
    <w:p w14:paraId="478E05B6" w14:textId="77777777" w:rsidR="0036544C" w:rsidRPr="009A093C" w:rsidRDefault="0036544C">
      <w:pPr>
        <w:rPr>
          <w:b/>
        </w:rPr>
      </w:pPr>
      <w:r w:rsidRPr="009A093C">
        <w:rPr>
          <w:b/>
        </w:rPr>
        <w:t>Current WRC status</w:t>
      </w:r>
    </w:p>
    <w:p w14:paraId="478E05B7" w14:textId="4F9597B2" w:rsidR="003C7A43" w:rsidRDefault="0036544C">
      <w:r>
        <w:t xml:space="preserve">Langham’s </w:t>
      </w:r>
      <w:r w:rsidR="00555F04">
        <w:t>Water Recycling Centre (</w:t>
      </w:r>
      <w:r>
        <w:t>WRC</w:t>
      </w:r>
      <w:r w:rsidR="00555F04">
        <w:t>)</w:t>
      </w:r>
      <w:r>
        <w:t xml:space="preserve"> has operated </w:t>
      </w:r>
      <w:r w:rsidR="00134831">
        <w:t xml:space="preserve">in excess of </w:t>
      </w:r>
      <w:r>
        <w:t>its current</w:t>
      </w:r>
      <w:r w:rsidR="00134831">
        <w:t xml:space="preserve">ly permitted </w:t>
      </w:r>
      <w:r w:rsidR="00846D76">
        <w:t>dry weather flow (DWF) of</w:t>
      </w:r>
      <w:r>
        <w:t xml:space="preserve"> 420 cubic metres/day for </w:t>
      </w:r>
      <w:r w:rsidR="00F06CE8">
        <w:t>8</w:t>
      </w:r>
      <w:r w:rsidR="008C424F">
        <w:t xml:space="preserve"> of the last 11 years (</w:t>
      </w:r>
      <w:r>
        <w:t>2014</w:t>
      </w:r>
      <w:r w:rsidR="009A093C">
        <w:t xml:space="preserve"> </w:t>
      </w:r>
      <w:r w:rsidR="008C424F">
        <w:t xml:space="preserve">to </w:t>
      </w:r>
      <w:r w:rsidR="009A093C">
        <w:t>2024</w:t>
      </w:r>
      <w:r w:rsidR="008C424F">
        <w:t>)</w:t>
      </w:r>
      <w:r>
        <w:t xml:space="preserve">, as shown in </w:t>
      </w:r>
      <w:r w:rsidR="00134831">
        <w:t>T</w:t>
      </w:r>
      <w:r>
        <w:t>able 1</w:t>
      </w:r>
      <w:r w:rsidR="0007514B">
        <w:t xml:space="preserve"> below</w:t>
      </w:r>
      <w:r>
        <w:t>. Annual outturns have however fluctuated v</w:t>
      </w:r>
      <w:r w:rsidR="008E03D1">
        <w:t>ery widely, which reflects serious</w:t>
      </w:r>
      <w:r>
        <w:t xml:space="preserve"> groundwater infiltration problems in the sewerage catchment network</w:t>
      </w:r>
      <w:r w:rsidR="00A878DA">
        <w:t xml:space="preserve">, causing large </w:t>
      </w:r>
      <w:r w:rsidR="009A093C">
        <w:t>variation</w:t>
      </w:r>
      <w:r w:rsidR="00A878DA">
        <w:t>s</w:t>
      </w:r>
      <w:r w:rsidR="009A093C">
        <w:t xml:space="preserve"> in flow rates dependent on local rainfall patterns each year</w:t>
      </w:r>
      <w:r>
        <w:t>.</w:t>
      </w:r>
      <w:r w:rsidR="00E1452B">
        <w:t xml:space="preserve"> A £1m sewer relining project was </w:t>
      </w:r>
      <w:r w:rsidR="004361EC">
        <w:t xml:space="preserve">therefore </w:t>
      </w:r>
      <w:r w:rsidR="00E1452B">
        <w:t xml:space="preserve">undertaken by </w:t>
      </w:r>
      <w:r w:rsidR="00555F04">
        <w:t>Anglian Water Services (</w:t>
      </w:r>
      <w:r w:rsidR="00E1452B">
        <w:t>AWS</w:t>
      </w:r>
      <w:r w:rsidR="00555F04">
        <w:t>)</w:t>
      </w:r>
      <w:r w:rsidR="00E1452B">
        <w:t xml:space="preserve"> in 2015, resulting in some </w:t>
      </w:r>
      <w:r w:rsidR="001E39AC">
        <w:t xml:space="preserve">short-term </w:t>
      </w:r>
      <w:r w:rsidR="00E1452B">
        <w:t>infiltration reduction, but not enough to restore the WRC to D</w:t>
      </w:r>
      <w:r w:rsidR="004361EC">
        <w:t>WF compliance over subsequent</w:t>
      </w:r>
      <w:r w:rsidR="00E1452B">
        <w:t xml:space="preserve"> years.</w:t>
      </w:r>
    </w:p>
    <w:p w14:paraId="478E05B8" w14:textId="3C986C13" w:rsidR="00E1452B" w:rsidRDefault="00224B56">
      <w:r>
        <w:t>Table 1 shows two different outturn results for each calendar year. The Q80 measure</w:t>
      </w:r>
      <w:r w:rsidR="00EB0413">
        <w:rPr>
          <w:rStyle w:val="FootnoteReference"/>
        </w:rPr>
        <w:footnoteReference w:id="1"/>
      </w:r>
      <w:r>
        <w:t xml:space="preserve"> is the designated measure to be used when assessing whether there is available headroom for planning new housing growth</w:t>
      </w:r>
      <w:r w:rsidR="001E39AC">
        <w:t xml:space="preserve"> within a</w:t>
      </w:r>
      <w:r>
        <w:t xml:space="preserve"> WRC catchment area. The results below indicate </w:t>
      </w:r>
      <w:r w:rsidR="00E32124">
        <w:t xml:space="preserve">the </w:t>
      </w:r>
      <w:r w:rsidR="00FB55F4">
        <w:t xml:space="preserve">WRC has exceeded the permitted discharge in </w:t>
      </w:r>
      <w:r>
        <w:t>8 of the last 11 full years. In the last 5 full years, only one year (2022) was compliant</w:t>
      </w:r>
      <w:r w:rsidR="004D4EE1">
        <w:t xml:space="preserve">, as a result of </w:t>
      </w:r>
      <w:r w:rsidR="001E39AC">
        <w:t xml:space="preserve">an </w:t>
      </w:r>
      <w:r w:rsidR="004D4EE1">
        <w:t>exceptionally dry year with 30% less annual rainfall than usual.</w:t>
      </w:r>
    </w:p>
    <w:p w14:paraId="775FAEBB" w14:textId="7EDE372B" w:rsidR="00175797" w:rsidRDefault="00175797">
      <w:r>
        <w:t xml:space="preserve">The Q90 measure is used </w:t>
      </w:r>
      <w:r w:rsidR="00292253">
        <w:t>when assessing compliance with the permit</w:t>
      </w:r>
      <w:r w:rsidR="00697724">
        <w:t xml:space="preserve">ted DWF limit (Q80), to allow for year-on-year variability </w:t>
      </w:r>
      <w:r w:rsidR="00C613B0">
        <w:t xml:space="preserve">and to avoid recording non-compliance for reasons outside the operator’s control such as unusually heavy rainfall. Table 1 shows that </w:t>
      </w:r>
      <w:r w:rsidR="00E96792">
        <w:t>the Q90 measure has exceeded the DWF permit</w:t>
      </w:r>
      <w:r w:rsidR="006267F4">
        <w:t>ted flows in 2014, 2020, 2021, 2023, and 2024.</w:t>
      </w:r>
      <w:r w:rsidR="00FB55F4">
        <w:t xml:space="preserve"> </w:t>
      </w:r>
      <w:r w:rsidR="00924154">
        <w:t xml:space="preserve">In 2022, </w:t>
      </w:r>
      <w:r w:rsidR="001323AB">
        <w:t xml:space="preserve">despite </w:t>
      </w:r>
      <w:r w:rsidR="00924154">
        <w:t xml:space="preserve">rainfall </w:t>
      </w:r>
      <w:r w:rsidR="001323AB">
        <w:t xml:space="preserve">being </w:t>
      </w:r>
      <w:r w:rsidR="00924154">
        <w:t xml:space="preserve">30% lower than usual, Q90 </w:t>
      </w:r>
      <w:r w:rsidR="00AB70EE">
        <w:t xml:space="preserve">remained at almost 80% of the </w:t>
      </w:r>
      <w:r w:rsidR="00A42A33">
        <w:t>permitted DWF.</w:t>
      </w:r>
    </w:p>
    <w:p w14:paraId="478E05B9" w14:textId="77777777" w:rsidR="001E39AC" w:rsidRDefault="001E39AC"/>
    <w:p w14:paraId="28812C10" w14:textId="3D24BAC6" w:rsidR="006C2F88" w:rsidRDefault="006C2F88" w:rsidP="00EF30B3">
      <w:pPr>
        <w:pStyle w:val="Caption"/>
        <w:keepNext/>
      </w:pPr>
      <w:r>
        <w:t xml:space="preserve">Table </w:t>
      </w:r>
      <w:r w:rsidR="003C69F9">
        <w:fldChar w:fldCharType="begin"/>
      </w:r>
      <w:r w:rsidR="003C69F9">
        <w:instrText xml:space="preserve"> SEQ Table \* ARABIC </w:instrText>
      </w:r>
      <w:r w:rsidR="003C69F9">
        <w:fldChar w:fldCharType="separate"/>
      </w:r>
      <w:r>
        <w:rPr>
          <w:noProof/>
        </w:rPr>
        <w:t>1</w:t>
      </w:r>
      <w:r w:rsidR="003C69F9">
        <w:rPr>
          <w:noProof/>
        </w:rPr>
        <w:fldChar w:fldCharType="end"/>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00340F" w14:paraId="478E05C1" w14:textId="77777777" w:rsidTr="0000340F">
        <w:tc>
          <w:tcPr>
            <w:tcW w:w="1288" w:type="dxa"/>
          </w:tcPr>
          <w:p w14:paraId="478E05BA" w14:textId="77777777" w:rsidR="0000340F" w:rsidRDefault="0000340F">
            <w:r>
              <w:t>Year</w:t>
            </w:r>
          </w:p>
        </w:tc>
        <w:tc>
          <w:tcPr>
            <w:tcW w:w="1288" w:type="dxa"/>
          </w:tcPr>
          <w:p w14:paraId="478E05BB" w14:textId="77777777" w:rsidR="0000340F" w:rsidRDefault="0000340F">
            <w:r>
              <w:t>2014</w:t>
            </w:r>
          </w:p>
        </w:tc>
        <w:tc>
          <w:tcPr>
            <w:tcW w:w="1288" w:type="dxa"/>
          </w:tcPr>
          <w:p w14:paraId="478E05BC" w14:textId="77777777" w:rsidR="0000340F" w:rsidRDefault="0000340F">
            <w:r>
              <w:t>2015</w:t>
            </w:r>
          </w:p>
        </w:tc>
        <w:tc>
          <w:tcPr>
            <w:tcW w:w="1288" w:type="dxa"/>
          </w:tcPr>
          <w:p w14:paraId="478E05BD" w14:textId="77777777" w:rsidR="0000340F" w:rsidRDefault="0000340F">
            <w:r>
              <w:t>2016</w:t>
            </w:r>
          </w:p>
        </w:tc>
        <w:tc>
          <w:tcPr>
            <w:tcW w:w="1288" w:type="dxa"/>
          </w:tcPr>
          <w:p w14:paraId="478E05BE" w14:textId="77777777" w:rsidR="0000340F" w:rsidRDefault="0000340F">
            <w:r>
              <w:t>2017</w:t>
            </w:r>
          </w:p>
        </w:tc>
        <w:tc>
          <w:tcPr>
            <w:tcW w:w="1288" w:type="dxa"/>
          </w:tcPr>
          <w:p w14:paraId="478E05BF" w14:textId="77777777" w:rsidR="0000340F" w:rsidRDefault="0000340F">
            <w:r>
              <w:t>2018</w:t>
            </w:r>
          </w:p>
        </w:tc>
        <w:tc>
          <w:tcPr>
            <w:tcW w:w="1288" w:type="dxa"/>
          </w:tcPr>
          <w:p w14:paraId="478E05C0" w14:textId="77777777" w:rsidR="0000340F" w:rsidRDefault="0000340F">
            <w:r>
              <w:t>2019</w:t>
            </w:r>
          </w:p>
        </w:tc>
      </w:tr>
      <w:tr w:rsidR="0000340F" w14:paraId="478E05C9" w14:textId="77777777" w:rsidTr="0000340F">
        <w:tc>
          <w:tcPr>
            <w:tcW w:w="1288" w:type="dxa"/>
          </w:tcPr>
          <w:p w14:paraId="478E05C2" w14:textId="77777777" w:rsidR="0000340F" w:rsidRDefault="0000340F">
            <w:r>
              <w:t>DWF permit</w:t>
            </w:r>
          </w:p>
        </w:tc>
        <w:tc>
          <w:tcPr>
            <w:tcW w:w="1288" w:type="dxa"/>
          </w:tcPr>
          <w:p w14:paraId="478E05C3" w14:textId="77777777" w:rsidR="0000340F" w:rsidRDefault="0000340F">
            <w:r>
              <w:t>420</w:t>
            </w:r>
          </w:p>
        </w:tc>
        <w:tc>
          <w:tcPr>
            <w:tcW w:w="1288" w:type="dxa"/>
          </w:tcPr>
          <w:p w14:paraId="478E05C4" w14:textId="77777777" w:rsidR="0000340F" w:rsidRDefault="0000340F">
            <w:r>
              <w:t>420</w:t>
            </w:r>
          </w:p>
        </w:tc>
        <w:tc>
          <w:tcPr>
            <w:tcW w:w="1288" w:type="dxa"/>
          </w:tcPr>
          <w:p w14:paraId="478E05C5" w14:textId="77777777" w:rsidR="0000340F" w:rsidRDefault="0000340F">
            <w:r>
              <w:t>420</w:t>
            </w:r>
          </w:p>
        </w:tc>
        <w:tc>
          <w:tcPr>
            <w:tcW w:w="1288" w:type="dxa"/>
          </w:tcPr>
          <w:p w14:paraId="478E05C6" w14:textId="77777777" w:rsidR="0000340F" w:rsidRDefault="0000340F">
            <w:r>
              <w:t>420</w:t>
            </w:r>
          </w:p>
        </w:tc>
        <w:tc>
          <w:tcPr>
            <w:tcW w:w="1288" w:type="dxa"/>
          </w:tcPr>
          <w:p w14:paraId="478E05C7" w14:textId="77777777" w:rsidR="0000340F" w:rsidRDefault="0000340F">
            <w:r>
              <w:t>420</w:t>
            </w:r>
          </w:p>
        </w:tc>
        <w:tc>
          <w:tcPr>
            <w:tcW w:w="1288" w:type="dxa"/>
          </w:tcPr>
          <w:p w14:paraId="478E05C8" w14:textId="77777777" w:rsidR="0000340F" w:rsidRDefault="0000340F">
            <w:r>
              <w:t>420</w:t>
            </w:r>
          </w:p>
        </w:tc>
      </w:tr>
      <w:tr w:rsidR="0000340F" w14:paraId="478E05D1" w14:textId="77777777" w:rsidTr="006F5FE9">
        <w:tc>
          <w:tcPr>
            <w:tcW w:w="1288" w:type="dxa"/>
          </w:tcPr>
          <w:p w14:paraId="478E05CA" w14:textId="77777777" w:rsidR="0000340F" w:rsidRDefault="0000340F">
            <w:r>
              <w:t>Actual (Q90)</w:t>
            </w:r>
          </w:p>
        </w:tc>
        <w:tc>
          <w:tcPr>
            <w:tcW w:w="1288" w:type="dxa"/>
            <w:shd w:val="clear" w:color="auto" w:fill="FF5050"/>
          </w:tcPr>
          <w:p w14:paraId="478E05CB" w14:textId="77777777" w:rsidR="0000340F" w:rsidRDefault="0000340F">
            <w:r>
              <w:t>522</w:t>
            </w:r>
          </w:p>
        </w:tc>
        <w:tc>
          <w:tcPr>
            <w:tcW w:w="1288" w:type="dxa"/>
            <w:shd w:val="clear" w:color="auto" w:fill="C5E0B3" w:themeFill="accent6" w:themeFillTint="66"/>
          </w:tcPr>
          <w:p w14:paraId="478E05CC" w14:textId="77777777" w:rsidR="0000340F" w:rsidRDefault="0000340F">
            <w:r>
              <w:t>381</w:t>
            </w:r>
          </w:p>
        </w:tc>
        <w:tc>
          <w:tcPr>
            <w:tcW w:w="1288" w:type="dxa"/>
            <w:shd w:val="clear" w:color="auto" w:fill="C5E0B3" w:themeFill="accent6" w:themeFillTint="66"/>
          </w:tcPr>
          <w:p w14:paraId="478E05CD" w14:textId="77777777" w:rsidR="0000340F" w:rsidRDefault="0000340F">
            <w:r>
              <w:t>383</w:t>
            </w:r>
          </w:p>
        </w:tc>
        <w:tc>
          <w:tcPr>
            <w:tcW w:w="1288" w:type="dxa"/>
            <w:shd w:val="clear" w:color="auto" w:fill="C5E0B3" w:themeFill="accent6" w:themeFillTint="66"/>
          </w:tcPr>
          <w:p w14:paraId="478E05CE" w14:textId="77777777" w:rsidR="0000340F" w:rsidRDefault="0000340F">
            <w:r>
              <w:t>358</w:t>
            </w:r>
          </w:p>
        </w:tc>
        <w:tc>
          <w:tcPr>
            <w:tcW w:w="1288" w:type="dxa"/>
            <w:shd w:val="clear" w:color="auto" w:fill="C5E0B3" w:themeFill="accent6" w:themeFillTint="66"/>
          </w:tcPr>
          <w:p w14:paraId="478E05CF" w14:textId="77777777" w:rsidR="0000340F" w:rsidRDefault="0000340F">
            <w:r>
              <w:t>416</w:t>
            </w:r>
          </w:p>
        </w:tc>
        <w:tc>
          <w:tcPr>
            <w:tcW w:w="1288" w:type="dxa"/>
            <w:shd w:val="clear" w:color="auto" w:fill="C5E0B3" w:themeFill="accent6" w:themeFillTint="66"/>
          </w:tcPr>
          <w:p w14:paraId="478E05D0" w14:textId="77777777" w:rsidR="0000340F" w:rsidRDefault="0000340F">
            <w:r>
              <w:t>378</w:t>
            </w:r>
          </w:p>
        </w:tc>
      </w:tr>
      <w:tr w:rsidR="0000340F" w14:paraId="478E05D9" w14:textId="77777777" w:rsidTr="0000340F">
        <w:tc>
          <w:tcPr>
            <w:tcW w:w="1288" w:type="dxa"/>
          </w:tcPr>
          <w:p w14:paraId="478E05D2" w14:textId="77777777" w:rsidR="0000340F" w:rsidRDefault="0000340F">
            <w:r>
              <w:t>Actual (Q80)</w:t>
            </w:r>
          </w:p>
        </w:tc>
        <w:tc>
          <w:tcPr>
            <w:tcW w:w="1288" w:type="dxa"/>
            <w:shd w:val="clear" w:color="auto" w:fill="FF5050"/>
          </w:tcPr>
          <w:p w14:paraId="478E05D3" w14:textId="77777777" w:rsidR="0000340F" w:rsidRDefault="0000340F">
            <w:r>
              <w:t>616</w:t>
            </w:r>
          </w:p>
        </w:tc>
        <w:tc>
          <w:tcPr>
            <w:tcW w:w="1288" w:type="dxa"/>
            <w:shd w:val="clear" w:color="auto" w:fill="FF5050"/>
          </w:tcPr>
          <w:p w14:paraId="478E05D4" w14:textId="77777777" w:rsidR="0000340F" w:rsidRDefault="0000340F">
            <w:r>
              <w:t>436</w:t>
            </w:r>
          </w:p>
        </w:tc>
        <w:tc>
          <w:tcPr>
            <w:tcW w:w="1288" w:type="dxa"/>
            <w:shd w:val="clear" w:color="auto" w:fill="C5E0B3" w:themeFill="accent6" w:themeFillTint="66"/>
          </w:tcPr>
          <w:p w14:paraId="478E05D5" w14:textId="77777777" w:rsidR="0000340F" w:rsidRDefault="0000340F">
            <w:r>
              <w:t>411</w:t>
            </w:r>
          </w:p>
        </w:tc>
        <w:tc>
          <w:tcPr>
            <w:tcW w:w="1288" w:type="dxa"/>
            <w:shd w:val="clear" w:color="auto" w:fill="C5E0B3" w:themeFill="accent6" w:themeFillTint="66"/>
          </w:tcPr>
          <w:p w14:paraId="478E05D6" w14:textId="77777777" w:rsidR="0000340F" w:rsidRDefault="0000340F">
            <w:r>
              <w:t>383</w:t>
            </w:r>
          </w:p>
        </w:tc>
        <w:tc>
          <w:tcPr>
            <w:tcW w:w="1288" w:type="dxa"/>
            <w:shd w:val="clear" w:color="auto" w:fill="FF5050"/>
          </w:tcPr>
          <w:p w14:paraId="478E05D7" w14:textId="77777777" w:rsidR="0000340F" w:rsidRDefault="0000340F">
            <w:r>
              <w:t>444</w:t>
            </w:r>
          </w:p>
        </w:tc>
        <w:tc>
          <w:tcPr>
            <w:tcW w:w="1288" w:type="dxa"/>
            <w:shd w:val="clear" w:color="auto" w:fill="FF5050"/>
          </w:tcPr>
          <w:p w14:paraId="478E05D8" w14:textId="77777777" w:rsidR="0000340F" w:rsidRDefault="0000340F">
            <w:r>
              <w:t>455</w:t>
            </w:r>
          </w:p>
        </w:tc>
      </w:tr>
    </w:tbl>
    <w:p w14:paraId="478E05DA" w14:textId="77777777" w:rsidR="00A878DA" w:rsidRDefault="00A878DA"/>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502A8C" w14:paraId="478E05E2" w14:textId="77777777" w:rsidTr="00502A8C">
        <w:tc>
          <w:tcPr>
            <w:tcW w:w="1288" w:type="dxa"/>
          </w:tcPr>
          <w:p w14:paraId="478E05DB" w14:textId="77777777" w:rsidR="00502A8C" w:rsidRDefault="00502A8C">
            <w:r>
              <w:t>Year</w:t>
            </w:r>
          </w:p>
        </w:tc>
        <w:tc>
          <w:tcPr>
            <w:tcW w:w="1288" w:type="dxa"/>
          </w:tcPr>
          <w:p w14:paraId="478E05DC" w14:textId="77777777" w:rsidR="00502A8C" w:rsidRDefault="00502A8C">
            <w:r>
              <w:t>2020</w:t>
            </w:r>
          </w:p>
        </w:tc>
        <w:tc>
          <w:tcPr>
            <w:tcW w:w="1288" w:type="dxa"/>
          </w:tcPr>
          <w:p w14:paraId="478E05DD" w14:textId="77777777" w:rsidR="00502A8C" w:rsidRDefault="00502A8C">
            <w:r>
              <w:t>2021</w:t>
            </w:r>
          </w:p>
        </w:tc>
        <w:tc>
          <w:tcPr>
            <w:tcW w:w="1288" w:type="dxa"/>
          </w:tcPr>
          <w:p w14:paraId="478E05DE" w14:textId="77777777" w:rsidR="00502A8C" w:rsidRDefault="00502A8C">
            <w:r>
              <w:t>2022</w:t>
            </w:r>
          </w:p>
        </w:tc>
        <w:tc>
          <w:tcPr>
            <w:tcW w:w="1288" w:type="dxa"/>
          </w:tcPr>
          <w:p w14:paraId="478E05DF" w14:textId="77777777" w:rsidR="00502A8C" w:rsidRDefault="00502A8C">
            <w:r>
              <w:t>2023</w:t>
            </w:r>
          </w:p>
        </w:tc>
        <w:tc>
          <w:tcPr>
            <w:tcW w:w="1288" w:type="dxa"/>
          </w:tcPr>
          <w:p w14:paraId="478E05E0" w14:textId="77777777" w:rsidR="00502A8C" w:rsidRDefault="00502A8C">
            <w:r>
              <w:t>2024</w:t>
            </w:r>
          </w:p>
        </w:tc>
        <w:tc>
          <w:tcPr>
            <w:tcW w:w="1288" w:type="dxa"/>
          </w:tcPr>
          <w:p w14:paraId="478E05E1" w14:textId="77777777" w:rsidR="00502A8C" w:rsidRDefault="00502A8C">
            <w:r>
              <w:t>2025</w:t>
            </w:r>
          </w:p>
        </w:tc>
      </w:tr>
      <w:tr w:rsidR="00502A8C" w14:paraId="478E05EA" w14:textId="77777777" w:rsidTr="00502A8C">
        <w:tc>
          <w:tcPr>
            <w:tcW w:w="1288" w:type="dxa"/>
          </w:tcPr>
          <w:p w14:paraId="478E05E3" w14:textId="77777777" w:rsidR="00502A8C" w:rsidRDefault="00502A8C">
            <w:r>
              <w:t>DWF permit</w:t>
            </w:r>
          </w:p>
        </w:tc>
        <w:tc>
          <w:tcPr>
            <w:tcW w:w="1288" w:type="dxa"/>
          </w:tcPr>
          <w:p w14:paraId="478E05E4" w14:textId="77777777" w:rsidR="00502A8C" w:rsidRDefault="00502A8C">
            <w:r>
              <w:t>420</w:t>
            </w:r>
          </w:p>
        </w:tc>
        <w:tc>
          <w:tcPr>
            <w:tcW w:w="1288" w:type="dxa"/>
          </w:tcPr>
          <w:p w14:paraId="478E05E5" w14:textId="77777777" w:rsidR="00502A8C" w:rsidRDefault="00502A8C">
            <w:r>
              <w:t>420</w:t>
            </w:r>
          </w:p>
        </w:tc>
        <w:tc>
          <w:tcPr>
            <w:tcW w:w="1288" w:type="dxa"/>
          </w:tcPr>
          <w:p w14:paraId="478E05E6" w14:textId="77777777" w:rsidR="00502A8C" w:rsidRDefault="00502A8C">
            <w:r>
              <w:t>420</w:t>
            </w:r>
          </w:p>
        </w:tc>
        <w:tc>
          <w:tcPr>
            <w:tcW w:w="1288" w:type="dxa"/>
          </w:tcPr>
          <w:p w14:paraId="478E05E7" w14:textId="77777777" w:rsidR="00502A8C" w:rsidRDefault="00502A8C">
            <w:r>
              <w:t>420</w:t>
            </w:r>
          </w:p>
        </w:tc>
        <w:tc>
          <w:tcPr>
            <w:tcW w:w="1288" w:type="dxa"/>
          </w:tcPr>
          <w:p w14:paraId="478E05E8" w14:textId="77777777" w:rsidR="00502A8C" w:rsidRDefault="00502A8C">
            <w:r>
              <w:t>420</w:t>
            </w:r>
          </w:p>
        </w:tc>
        <w:tc>
          <w:tcPr>
            <w:tcW w:w="1288" w:type="dxa"/>
          </w:tcPr>
          <w:p w14:paraId="478E05E9" w14:textId="77777777" w:rsidR="00502A8C" w:rsidRDefault="00502A8C">
            <w:r>
              <w:t>420</w:t>
            </w:r>
          </w:p>
        </w:tc>
      </w:tr>
      <w:tr w:rsidR="00502A8C" w14:paraId="478E05F2" w14:textId="77777777" w:rsidTr="00502A8C">
        <w:tc>
          <w:tcPr>
            <w:tcW w:w="1288" w:type="dxa"/>
          </w:tcPr>
          <w:p w14:paraId="478E05EB" w14:textId="77777777" w:rsidR="00502A8C" w:rsidRDefault="00502A8C">
            <w:r>
              <w:t>Actual (Q90)</w:t>
            </w:r>
          </w:p>
        </w:tc>
        <w:tc>
          <w:tcPr>
            <w:tcW w:w="1288" w:type="dxa"/>
            <w:shd w:val="clear" w:color="auto" w:fill="FF5050"/>
          </w:tcPr>
          <w:p w14:paraId="478E05EC" w14:textId="77777777" w:rsidR="00502A8C" w:rsidRDefault="00502A8C">
            <w:r>
              <w:t>428</w:t>
            </w:r>
          </w:p>
        </w:tc>
        <w:tc>
          <w:tcPr>
            <w:tcW w:w="1288" w:type="dxa"/>
            <w:shd w:val="clear" w:color="auto" w:fill="FF5050"/>
          </w:tcPr>
          <w:p w14:paraId="478E05ED" w14:textId="77777777" w:rsidR="00502A8C" w:rsidRDefault="00502A8C">
            <w:r>
              <w:t>482</w:t>
            </w:r>
          </w:p>
        </w:tc>
        <w:tc>
          <w:tcPr>
            <w:tcW w:w="1288" w:type="dxa"/>
            <w:shd w:val="clear" w:color="auto" w:fill="C5E0B3" w:themeFill="accent6" w:themeFillTint="66"/>
          </w:tcPr>
          <w:p w14:paraId="478E05EE" w14:textId="77777777" w:rsidR="00502A8C" w:rsidRDefault="00502A8C">
            <w:r>
              <w:t>328</w:t>
            </w:r>
          </w:p>
        </w:tc>
        <w:tc>
          <w:tcPr>
            <w:tcW w:w="1288" w:type="dxa"/>
            <w:shd w:val="clear" w:color="auto" w:fill="FF5050"/>
          </w:tcPr>
          <w:p w14:paraId="478E05EF" w14:textId="77777777" w:rsidR="00502A8C" w:rsidRDefault="007C6DFC">
            <w:r>
              <w:t>486</w:t>
            </w:r>
          </w:p>
        </w:tc>
        <w:tc>
          <w:tcPr>
            <w:tcW w:w="1288" w:type="dxa"/>
            <w:shd w:val="clear" w:color="auto" w:fill="FF5050"/>
          </w:tcPr>
          <w:p w14:paraId="478E05F0" w14:textId="77777777" w:rsidR="00502A8C" w:rsidRDefault="007C6DFC">
            <w:r>
              <w:t>475</w:t>
            </w:r>
          </w:p>
        </w:tc>
        <w:tc>
          <w:tcPr>
            <w:tcW w:w="1288" w:type="dxa"/>
          </w:tcPr>
          <w:p w14:paraId="478E05F1" w14:textId="77777777" w:rsidR="00502A8C" w:rsidRDefault="00502A8C">
            <w:r>
              <w:t>TBC</w:t>
            </w:r>
          </w:p>
        </w:tc>
      </w:tr>
      <w:tr w:rsidR="00502A8C" w14:paraId="478E05FA" w14:textId="77777777" w:rsidTr="00502A8C">
        <w:tc>
          <w:tcPr>
            <w:tcW w:w="1288" w:type="dxa"/>
          </w:tcPr>
          <w:p w14:paraId="478E05F3" w14:textId="77777777" w:rsidR="00502A8C" w:rsidRDefault="00502A8C">
            <w:r>
              <w:lastRenderedPageBreak/>
              <w:t>Actual (Q80)</w:t>
            </w:r>
          </w:p>
        </w:tc>
        <w:tc>
          <w:tcPr>
            <w:tcW w:w="1288" w:type="dxa"/>
            <w:shd w:val="clear" w:color="auto" w:fill="FF5050"/>
          </w:tcPr>
          <w:p w14:paraId="478E05F4" w14:textId="77777777" w:rsidR="00502A8C" w:rsidRDefault="00502A8C">
            <w:r>
              <w:t>455</w:t>
            </w:r>
          </w:p>
        </w:tc>
        <w:tc>
          <w:tcPr>
            <w:tcW w:w="1288" w:type="dxa"/>
            <w:shd w:val="clear" w:color="auto" w:fill="FF5050"/>
          </w:tcPr>
          <w:p w14:paraId="478E05F5" w14:textId="77777777" w:rsidR="00502A8C" w:rsidRDefault="00502A8C">
            <w:r>
              <w:t>519</w:t>
            </w:r>
          </w:p>
        </w:tc>
        <w:tc>
          <w:tcPr>
            <w:tcW w:w="1288" w:type="dxa"/>
            <w:shd w:val="clear" w:color="auto" w:fill="C5E0B3" w:themeFill="accent6" w:themeFillTint="66"/>
          </w:tcPr>
          <w:p w14:paraId="478E05F6" w14:textId="77777777" w:rsidR="00502A8C" w:rsidRDefault="00502A8C">
            <w:r>
              <w:t>346</w:t>
            </w:r>
          </w:p>
        </w:tc>
        <w:tc>
          <w:tcPr>
            <w:tcW w:w="1288" w:type="dxa"/>
            <w:shd w:val="clear" w:color="auto" w:fill="FF5050"/>
          </w:tcPr>
          <w:p w14:paraId="478E05F7" w14:textId="77777777" w:rsidR="00502A8C" w:rsidRDefault="007C6DFC">
            <w:r>
              <w:t>580</w:t>
            </w:r>
          </w:p>
        </w:tc>
        <w:tc>
          <w:tcPr>
            <w:tcW w:w="1288" w:type="dxa"/>
            <w:shd w:val="clear" w:color="auto" w:fill="FF5050"/>
          </w:tcPr>
          <w:p w14:paraId="478E05F8" w14:textId="77777777" w:rsidR="00502A8C" w:rsidRDefault="007C6DFC">
            <w:r>
              <w:t>534</w:t>
            </w:r>
          </w:p>
        </w:tc>
        <w:tc>
          <w:tcPr>
            <w:tcW w:w="1288" w:type="dxa"/>
          </w:tcPr>
          <w:p w14:paraId="478E05F9" w14:textId="77777777" w:rsidR="00502A8C" w:rsidRDefault="00502A8C">
            <w:r>
              <w:t>TBC</w:t>
            </w:r>
          </w:p>
        </w:tc>
      </w:tr>
    </w:tbl>
    <w:p w14:paraId="478E05FB" w14:textId="77777777" w:rsidR="00502A8C" w:rsidRDefault="00502A8C"/>
    <w:p w14:paraId="478E05FC" w14:textId="4190E108" w:rsidR="00E1452B" w:rsidRDefault="00E1452B">
      <w:r>
        <w:t>In November 2021</w:t>
      </w:r>
      <w:r w:rsidR="00EB211F">
        <w:t>, AWS submitted a pre-application to the Environment Agency for an increased DWF permit of 500 cubic metres/day, with a target implementation date of</w:t>
      </w:r>
      <w:r w:rsidR="00A878DA">
        <w:t xml:space="preserve"> Dec 2024, as reported in a </w:t>
      </w:r>
      <w:hyperlink r:id="rId8" w:history="1">
        <w:r w:rsidR="00A878DA" w:rsidRPr="00576113">
          <w:rPr>
            <w:rStyle w:val="Hyperlink"/>
          </w:rPr>
          <w:t>Committed Investment Plan</w:t>
        </w:r>
      </w:hyperlink>
      <w:r w:rsidR="00A878DA">
        <w:t xml:space="preserve"> submitted to Colchester</w:t>
      </w:r>
      <w:r w:rsidR="00576113">
        <w:t>’s</w:t>
      </w:r>
      <w:r w:rsidR="00A878DA">
        <w:t xml:space="preserve"> Planning Authority.</w:t>
      </w:r>
      <w:r w:rsidR="005D651F">
        <w:t xml:space="preserve"> This </w:t>
      </w:r>
      <w:r w:rsidR="00733CCB">
        <w:t xml:space="preserve">proposed </w:t>
      </w:r>
      <w:r w:rsidR="005D651F">
        <w:t xml:space="preserve">permit variation </w:t>
      </w:r>
      <w:r w:rsidR="00733CCB">
        <w:t xml:space="preserve">was clearly sized to reflect the </w:t>
      </w:r>
      <w:r w:rsidR="003E567A">
        <w:t xml:space="preserve">lower </w:t>
      </w:r>
      <w:r w:rsidR="00733CCB">
        <w:t>Q80 figure</w:t>
      </w:r>
      <w:r w:rsidR="008A1D94">
        <w:t xml:space="preserve"> recorded</w:t>
      </w:r>
      <w:r w:rsidR="00733CCB">
        <w:t xml:space="preserve"> following </w:t>
      </w:r>
      <w:r w:rsidR="003E567A">
        <w:t>the relining project in 2015</w:t>
      </w:r>
      <w:r w:rsidR="00F25A12">
        <w:t xml:space="preserve">; </w:t>
      </w:r>
      <w:r w:rsidR="008A1D94">
        <w:t xml:space="preserve">however, since 2020, Q80 has exceeded </w:t>
      </w:r>
      <w:r w:rsidR="008167E0">
        <w:t xml:space="preserve">the </w:t>
      </w:r>
      <w:r w:rsidR="008D3E6D">
        <w:t xml:space="preserve">targeted allowance of 500 </w:t>
      </w:r>
      <w:r w:rsidR="00E65F3E">
        <w:t>cubic metres/day</w:t>
      </w:r>
      <w:r w:rsidR="00C261C4">
        <w:t>. Were this permit variation to be implemented, it would not provide any additional capacity for new development</w:t>
      </w:r>
      <w:r w:rsidR="00BD52A7">
        <w:t xml:space="preserve"> in the area.</w:t>
      </w:r>
    </w:p>
    <w:p w14:paraId="478E05FD" w14:textId="12EC05EA" w:rsidR="00EB211F" w:rsidRDefault="00C34FE0">
      <w:r>
        <w:t xml:space="preserve">In reality, this pre-application </w:t>
      </w:r>
      <w:r w:rsidR="00BD52A7">
        <w:t xml:space="preserve">engagement </w:t>
      </w:r>
      <w:r>
        <w:t xml:space="preserve">was never progressed to a new permit application. AWS decided instead to focus efforts on further sewerage network surveys in the hope that additional groundwater infiltration reduction measures might reduce or </w:t>
      </w:r>
      <w:r w:rsidR="00576113">
        <w:t xml:space="preserve">even </w:t>
      </w:r>
      <w:r>
        <w:t xml:space="preserve">remove the requirement for an increased DWF permit. </w:t>
      </w:r>
      <w:r w:rsidR="00A878DA">
        <w:t xml:space="preserve">The reasons for this finally became apparent when AWS shared the following information </w:t>
      </w:r>
      <w:r>
        <w:t>with Langham Parish Council and our MP</w:t>
      </w:r>
      <w:r w:rsidR="008620A0">
        <w:t>, Sir Bernard Jenkin,</w:t>
      </w:r>
      <w:r>
        <w:t xml:space="preserve"> at a </w:t>
      </w:r>
      <w:hyperlink r:id="rId9" w:history="1">
        <w:r w:rsidRPr="00576113">
          <w:rPr>
            <w:rStyle w:val="Hyperlink"/>
          </w:rPr>
          <w:t>public</w:t>
        </w:r>
        <w:r w:rsidR="00D014AE" w:rsidRPr="00576113">
          <w:rPr>
            <w:rStyle w:val="Hyperlink"/>
          </w:rPr>
          <w:t xml:space="preserve"> meeting on 2</w:t>
        </w:r>
        <w:r w:rsidR="00D014AE" w:rsidRPr="00576113">
          <w:rPr>
            <w:rStyle w:val="Hyperlink"/>
            <w:vertAlign w:val="superscript"/>
          </w:rPr>
          <w:t>nd</w:t>
        </w:r>
        <w:r w:rsidR="00D014AE" w:rsidRPr="00576113">
          <w:rPr>
            <w:rStyle w:val="Hyperlink"/>
          </w:rPr>
          <w:t xml:space="preserve"> February 2024</w:t>
        </w:r>
      </w:hyperlink>
      <w:r w:rsidR="00D014AE">
        <w:t>:</w:t>
      </w:r>
    </w:p>
    <w:p w14:paraId="478E05FE" w14:textId="77777777" w:rsidR="00D014AE" w:rsidRDefault="00D014AE" w:rsidP="00D014AE">
      <w:pPr>
        <w:pStyle w:val="ListParagraph"/>
        <w:numPr>
          <w:ilvl w:val="0"/>
          <w:numId w:val="1"/>
        </w:numPr>
      </w:pPr>
      <w:r>
        <w:t xml:space="preserve">A preliminary </w:t>
      </w:r>
      <w:r w:rsidR="00A878DA">
        <w:t xml:space="preserve">AWS </w:t>
      </w:r>
      <w:r>
        <w:t>costing ex</w:t>
      </w:r>
      <w:r w:rsidR="00A878DA">
        <w:t>ercise for upgrade or rebuild</w:t>
      </w:r>
      <w:r>
        <w:t xml:space="preserve"> of </w:t>
      </w:r>
      <w:r w:rsidR="00A878DA">
        <w:t xml:space="preserve">the </w:t>
      </w:r>
      <w:r>
        <w:t>Langham WRC to meet an increased flow treatment capacity estimated the likely capital expenditure to be in excess of £6m</w:t>
      </w:r>
      <w:r w:rsidR="009A093C">
        <w:t>.</w:t>
      </w:r>
    </w:p>
    <w:p w14:paraId="478E05FF" w14:textId="77777777" w:rsidR="00D014AE" w:rsidRDefault="00D014AE" w:rsidP="00D014AE">
      <w:pPr>
        <w:pStyle w:val="ListParagraph"/>
        <w:numPr>
          <w:ilvl w:val="0"/>
          <w:numId w:val="1"/>
        </w:numPr>
      </w:pPr>
      <w:r>
        <w:t>AWS’s Environmental Permit Scientist reported that Langham’s sewerage network has the worst groundwater infiltration rates in their entire estate of ~1100 WRC catchments, with the sole exception of 2 or 3 catchments in the low lying Norfolk Broads.</w:t>
      </w:r>
    </w:p>
    <w:p w14:paraId="478E0600" w14:textId="77777777" w:rsidR="0036544C" w:rsidRDefault="00D014AE">
      <w:r>
        <w:t>Various surveys and flow monitoring activities have been undertaken by AWS throughout 2022, 2023 and 2024</w:t>
      </w:r>
      <w:r w:rsidR="009A093C">
        <w:t xml:space="preserve">, but no evidence of any significant </w:t>
      </w:r>
      <w:r w:rsidR="00A878DA">
        <w:t xml:space="preserve">infiltration reduction </w:t>
      </w:r>
      <w:r w:rsidR="009A093C">
        <w:t>opportuni</w:t>
      </w:r>
      <w:r w:rsidR="008E03D1">
        <w:t xml:space="preserve">ties and </w:t>
      </w:r>
      <w:r w:rsidR="001E39AC">
        <w:t xml:space="preserve">delivered </w:t>
      </w:r>
      <w:r w:rsidR="008E03D1">
        <w:t>solutions have thus</w:t>
      </w:r>
      <w:r w:rsidR="00706CE7">
        <w:t xml:space="preserve"> far been reported back</w:t>
      </w:r>
      <w:r w:rsidR="009A093C">
        <w:t xml:space="preserve"> </w:t>
      </w:r>
      <w:r w:rsidR="00A878DA">
        <w:t>to</w:t>
      </w:r>
      <w:r w:rsidR="00576113">
        <w:t xml:space="preserve"> </w:t>
      </w:r>
      <w:r w:rsidR="009A093C">
        <w:t>Langham Parish Council.</w:t>
      </w:r>
    </w:p>
    <w:p w14:paraId="1D16CF5F" w14:textId="73CB9F87" w:rsidR="00DA7F7C" w:rsidRDefault="009A093C">
      <w:r>
        <w:t>Langham WRC</w:t>
      </w:r>
      <w:r w:rsidR="00E84703">
        <w:t xml:space="preserve"> therefore remains flow non-compliant</w:t>
      </w:r>
      <w:r w:rsidR="00A878DA">
        <w:t xml:space="preserve"> as clearly identified in CCC’s July 2025 </w:t>
      </w:r>
      <w:hyperlink r:id="rId10" w:history="1">
        <w:r w:rsidR="00A878DA" w:rsidRPr="00576113">
          <w:rPr>
            <w:rStyle w:val="Hyperlink"/>
          </w:rPr>
          <w:t>Water Cycle Study</w:t>
        </w:r>
      </w:hyperlink>
      <w:r w:rsidR="00576113">
        <w:t>. Consequently,</w:t>
      </w:r>
      <w:r w:rsidR="00E84703">
        <w:t xml:space="preserve"> and i</w:t>
      </w:r>
      <w:r w:rsidR="00576113">
        <w:t>n line with current</w:t>
      </w:r>
      <w:r>
        <w:t xml:space="preserve"> company policy, AWS’s current co</w:t>
      </w:r>
      <w:r w:rsidR="00576113">
        <w:t>nsultation advice to Colchester’s Planning Authority</w:t>
      </w:r>
      <w:r>
        <w:t xml:space="preserve"> is that all planning applications in Langham should be refused due to lack of capacity at Langham WRC.</w:t>
      </w:r>
      <w:r w:rsidR="004F4609">
        <w:t xml:space="preserve"> The Water Cycle Study similarly recommends that “development coming forward…should be required to demonstrate available capacity at the WRC and the associated sewer network with AWS prior to submitting planning applications.”</w:t>
      </w:r>
    </w:p>
    <w:p w14:paraId="7406DFD0" w14:textId="0EFD6EAB" w:rsidR="00294437" w:rsidRPr="00294437" w:rsidRDefault="00194BC2" w:rsidP="00294437">
      <w:pPr>
        <w:shd w:val="clear" w:color="auto" w:fill="FFFFFF"/>
        <w:textAlignment w:val="baseline"/>
        <w:rPr>
          <w:rFonts w:eastAsia="Times New Roman" w:cstheme="minorHAnsi"/>
          <w:color w:val="242424"/>
          <w:lang w:eastAsia="en-GB"/>
        </w:rPr>
      </w:pPr>
      <w:r>
        <w:rPr>
          <w:rFonts w:ascii="Calibri" w:hAnsi="Calibri" w:cs="Calibri"/>
        </w:rPr>
        <w:t>Noting the 10 year history of non-delivery of WRC upgrades from the previous 2016 WCS, t</w:t>
      </w:r>
      <w:r w:rsidR="00294437">
        <w:rPr>
          <w:rFonts w:ascii="Calibri" w:hAnsi="Calibri" w:cs="Calibri"/>
        </w:rPr>
        <w:t xml:space="preserve">his suggested </w:t>
      </w:r>
      <w:r w:rsidR="00294437">
        <w:rPr>
          <w:rFonts w:ascii="Calibri" w:hAnsi="Calibri" w:cs="Calibri"/>
        </w:rPr>
        <w:t xml:space="preserve">use of a planning condition in place of identified mitigation may </w:t>
      </w:r>
      <w:r>
        <w:rPr>
          <w:rFonts w:ascii="Calibri" w:hAnsi="Calibri" w:cs="Calibri"/>
        </w:rPr>
        <w:t xml:space="preserve">very well </w:t>
      </w:r>
      <w:bookmarkStart w:id="0" w:name="_GoBack"/>
      <w:bookmarkEnd w:id="0"/>
      <w:r w:rsidR="00294437">
        <w:rPr>
          <w:rFonts w:ascii="Calibri" w:hAnsi="Calibri" w:cs="Calibri"/>
        </w:rPr>
        <w:t xml:space="preserve">not be lawful as there needs to be a reasonable prospect of the external action (WRC upgrades) being completed within the permission’s timeframe. Whilst no permission would be </w:t>
      </w:r>
      <w:r w:rsidR="00294437" w:rsidRPr="00294437">
        <w:rPr>
          <w:rFonts w:cstheme="minorHAnsi"/>
        </w:rPr>
        <w:t xml:space="preserve">considered </w:t>
      </w:r>
      <w:r w:rsidR="00294437" w:rsidRPr="00294437">
        <w:rPr>
          <w:rFonts w:eastAsia="Times New Roman" w:cstheme="minorHAnsi"/>
          <w:color w:val="242424"/>
          <w:lang w:eastAsia="en-GB"/>
        </w:rPr>
        <w:t>until the capacity issues are resolved, the policy amounts to and should be considered as equivalent to a Grampian condition on the local plan allocation.</w:t>
      </w:r>
      <w:r w:rsidR="00294437">
        <w:rPr>
          <w:rFonts w:eastAsia="Times New Roman" w:cstheme="minorHAnsi"/>
          <w:color w:val="242424"/>
          <w:lang w:eastAsia="en-GB"/>
        </w:rPr>
        <w:t xml:space="preserve"> </w:t>
      </w:r>
      <w:r w:rsidR="00294437" w:rsidRPr="00294437">
        <w:rPr>
          <w:rFonts w:eastAsia="Times New Roman" w:cstheme="minorHAnsi"/>
          <w:color w:val="242424"/>
          <w:lang w:eastAsia="en-GB"/>
        </w:rPr>
        <w:t>Without any proposals for the works, and absent a mechanism for a developer to contribute to them, the condition would fail the test of reasonableness for a Grampian Condition and the associated planning application would have to be refused. The same logic applied to the policy pre-condition illustrates the futility of the application. As it would not be acceptable as a Grampian condition on a planning application for the development, it cannot be justified as a policy precondition for the allocation.</w:t>
      </w:r>
    </w:p>
    <w:p w14:paraId="43216AB1" w14:textId="77777777" w:rsidR="00294437" w:rsidRDefault="00294437"/>
    <w:p w14:paraId="478E0602" w14:textId="77777777" w:rsidR="0036544C" w:rsidRPr="00E84703" w:rsidRDefault="0036544C">
      <w:pPr>
        <w:rPr>
          <w:b/>
        </w:rPr>
      </w:pPr>
      <w:r w:rsidRPr="00E84703">
        <w:rPr>
          <w:b/>
        </w:rPr>
        <w:lastRenderedPageBreak/>
        <w:t>Current sewerage network status</w:t>
      </w:r>
    </w:p>
    <w:p w14:paraId="478E0603" w14:textId="77777777" w:rsidR="004F4609" w:rsidRDefault="0032490E">
      <w:r>
        <w:t>As reported above, AWS</w:t>
      </w:r>
      <w:r w:rsidR="00E84703">
        <w:t xml:space="preserve"> has recognised for over a decade that the Langham sewerage network has very serious groundwater infil</w:t>
      </w:r>
      <w:r w:rsidR="00FD7695">
        <w:t>tration problems, but has fai</w:t>
      </w:r>
      <w:r w:rsidR="00E84703">
        <w:t xml:space="preserve">led to make </w:t>
      </w:r>
      <w:r w:rsidR="00FD7695">
        <w:t xml:space="preserve">any </w:t>
      </w:r>
      <w:r w:rsidR="00950F0E">
        <w:t>significant progress in</w:t>
      </w:r>
      <w:r w:rsidR="00E84703">
        <w:t xml:space="preserve"> resolving them.</w:t>
      </w:r>
    </w:p>
    <w:p w14:paraId="478E0604" w14:textId="77777777" w:rsidR="00DB0F68" w:rsidRDefault="00DB0F68">
      <w:r>
        <w:t>The</w:t>
      </w:r>
      <w:r w:rsidR="00FD7695">
        <w:t>se</w:t>
      </w:r>
      <w:r>
        <w:t xml:space="preserve"> high level</w:t>
      </w:r>
      <w:r w:rsidR="00FD7695">
        <w:t>s of infiltration have the insidious</w:t>
      </w:r>
      <w:r>
        <w:t xml:space="preserve"> consequence of “stealing” capacity from the flow permit and increasing the likelihood of DWF non-compliance, pa</w:t>
      </w:r>
      <w:r w:rsidR="00FD7695">
        <w:t xml:space="preserve">rticularly during wet years. They also have the far more pernicious effect of causing hydraulic overload of the sewer network during periods of very wet weather. </w:t>
      </w:r>
      <w:r w:rsidR="00E8349E">
        <w:t>The results of this can range from sewage overspills from individual manholes, through to flooded streets and gardens, pumping station failures and ultimately internal sewage flooding of residential properties. This very worst case outcome has affected Langham in 2016</w:t>
      </w:r>
      <w:r w:rsidR="00BB5A0A">
        <w:t xml:space="preserve"> and again in 2024. </w:t>
      </w:r>
      <w:r w:rsidR="00E8349E">
        <w:t>Lesser incidents of street and garden sewage flooding have occurred many times over the last decade, with some residents’ gardens being submerged</w:t>
      </w:r>
      <w:r w:rsidR="0032490E">
        <w:t xml:space="preserve"> up to 6 times over the last 3 years. The CCC Water Cycle Study confirms (in table 4-3) that the CO</w:t>
      </w:r>
      <w:r w:rsidR="00950F0E">
        <w:t xml:space="preserve">4 postcode (comprising primarily </w:t>
      </w:r>
      <w:proofErr w:type="spellStart"/>
      <w:r w:rsidR="0032490E">
        <w:t>Boxted</w:t>
      </w:r>
      <w:proofErr w:type="spellEnd"/>
      <w:r w:rsidR="00950F0E">
        <w:t>, Langham</w:t>
      </w:r>
      <w:r w:rsidR="0032490E">
        <w:t xml:space="preserve"> and </w:t>
      </w:r>
      <w:proofErr w:type="spellStart"/>
      <w:r w:rsidR="0032490E">
        <w:t>Highwoods</w:t>
      </w:r>
      <w:proofErr w:type="spellEnd"/>
      <w:r w:rsidR="0032490E">
        <w:t>) has suffered the highest prevalence of internal sewer flooding incidents across all of Colchester over the last 10 years, with more than 300 incidents recorded</w:t>
      </w:r>
      <w:r w:rsidR="008E03D1">
        <w:t xml:space="preserve"> in official records</w:t>
      </w:r>
      <w:r w:rsidR="0032490E">
        <w:t>.</w:t>
      </w:r>
    </w:p>
    <w:p w14:paraId="478E0605" w14:textId="77777777" w:rsidR="0032490E" w:rsidRDefault="00D65840">
      <w:r>
        <w:t>Langham’s se</w:t>
      </w:r>
      <w:r w:rsidR="00BB5A0A">
        <w:t>wer network is demonstr</w:t>
      </w:r>
      <w:r w:rsidR="00E94544">
        <w:t>ably operating with no</w:t>
      </w:r>
      <w:r w:rsidR="00BB5A0A">
        <w:t xml:space="preserve"> </w:t>
      </w:r>
      <w:r w:rsidR="008E03D1">
        <w:t xml:space="preserve">flow </w:t>
      </w:r>
      <w:r w:rsidR="00BB5A0A">
        <w:t xml:space="preserve">headroom to cope with heavy rainfall events. Significant new housebuilding, together with increased </w:t>
      </w:r>
      <w:r w:rsidR="00950F0E">
        <w:t xml:space="preserve">wet </w:t>
      </w:r>
      <w:r w:rsidR="00BB5A0A">
        <w:t>weather variability from climate change, poses a very serious threat of disastrous sewage flooding incidents becoming far more frequent</w:t>
      </w:r>
      <w:r w:rsidR="007C2D38">
        <w:t xml:space="preserve"> than at present</w:t>
      </w:r>
      <w:r w:rsidR="00A44D23">
        <w:t>. This is recognised in</w:t>
      </w:r>
      <w:r w:rsidR="00BB5A0A">
        <w:t xml:space="preserve"> the Water Cycle Study’s recommendation</w:t>
      </w:r>
      <w:r w:rsidR="007C2D38">
        <w:t xml:space="preserve"> that “development coming forward…should be required to demonstrate available capacity at the WRC </w:t>
      </w:r>
      <w:r w:rsidR="007C2D38" w:rsidRPr="007C2D38">
        <w:rPr>
          <w:b/>
        </w:rPr>
        <w:t xml:space="preserve">and the associated sewer network </w:t>
      </w:r>
      <w:r w:rsidR="007C2D38">
        <w:t>with AWS prior to submitting planning applications.”</w:t>
      </w:r>
    </w:p>
    <w:p w14:paraId="478E0606" w14:textId="77777777" w:rsidR="001E39AC" w:rsidRDefault="001E39AC">
      <w:r>
        <w:t>What this recommendation means in Plain English is that any major new housing development at Langham will require not only a substantial upgrade to the Langham WRC, but also the ins</w:t>
      </w:r>
      <w:r w:rsidR="003C3DF5">
        <w:t xml:space="preserve">tallation of </w:t>
      </w:r>
      <w:r w:rsidR="00DA0D6E">
        <w:t>a</w:t>
      </w:r>
      <w:r>
        <w:t xml:space="preserve"> new larger diameter</w:t>
      </w:r>
      <w:r w:rsidR="00DA0D6E">
        <w:t xml:space="preserve"> and leak-free</w:t>
      </w:r>
      <w:r w:rsidR="003C3DF5">
        <w:t xml:space="preserve"> sewer network between the housing development site and the WRC.</w:t>
      </w:r>
    </w:p>
    <w:p w14:paraId="478E0607" w14:textId="77777777" w:rsidR="0036544C" w:rsidRPr="00A44D23" w:rsidRDefault="0036544C">
      <w:pPr>
        <w:rPr>
          <w:b/>
        </w:rPr>
      </w:pPr>
      <w:r w:rsidRPr="00A44D23">
        <w:rPr>
          <w:b/>
        </w:rPr>
        <w:t>Anglian Water investment requirements and timetable</w:t>
      </w:r>
    </w:p>
    <w:p w14:paraId="478E0608" w14:textId="77777777" w:rsidR="00A44D23" w:rsidRDefault="00A8006B">
      <w:r>
        <w:t xml:space="preserve">The Water Cycle Study confirms </w:t>
      </w:r>
      <w:r w:rsidR="005E2A87">
        <w:t xml:space="preserve">(in section 8.10) </w:t>
      </w:r>
      <w:r>
        <w:t>that AWS’s 2025-2030 business plan currently includes no investment at Langham WRC. I</w:t>
      </w:r>
      <w:r w:rsidR="005E2A87">
        <w:t xml:space="preserve">t </w:t>
      </w:r>
      <w:r w:rsidR="008E03D1">
        <w:t xml:space="preserve">also </w:t>
      </w:r>
      <w:r w:rsidR="005E2A87">
        <w:t>notes an absence of any medium to long term solutions in the Drainage &amp; Wastewater Management Plan covering the period out to 2050. It further notes that a WRC upgrade to protect water quality is technically achievable (to achieve the necessary</w:t>
      </w:r>
      <w:r w:rsidR="00025A3E">
        <w:t xml:space="preserve"> new permit requirements for ammonia, BOD and nitrates)</w:t>
      </w:r>
      <w:r w:rsidR="005E2A87">
        <w:t xml:space="preserve">, but that “upgrades required may be significant”. The £6m </w:t>
      </w:r>
      <w:r w:rsidR="008E03D1">
        <w:t xml:space="preserve">cost </w:t>
      </w:r>
      <w:r w:rsidR="005E2A87">
        <w:t xml:space="preserve">estimate shared with Langham Parish Council in 2024 (prior to any proposals for over 1,000 new connected homes now envisaged in </w:t>
      </w:r>
      <w:r w:rsidR="008E03D1">
        <w:t>the draft Local Plan) almost certainly</w:t>
      </w:r>
      <w:r w:rsidR="005E2A87">
        <w:t xml:space="preserve"> represents an absolute lower bound on the real costs</w:t>
      </w:r>
      <w:r w:rsidR="003C3DF5">
        <w:t xml:space="preserve"> that would need to be incurred to upgrade the WRC to the required capacity. It must also be noted that this cost estimate does not include any allowance for the cost of a new sewer network to serve the proposed large new housing development.</w:t>
      </w:r>
    </w:p>
    <w:p w14:paraId="478E0609" w14:textId="454D2749" w:rsidR="00025A3E" w:rsidRDefault="00025A3E">
      <w:r>
        <w:t xml:space="preserve">Any such major revisions to AWS’s investment program will not be </w:t>
      </w:r>
      <w:r w:rsidR="00504BAF">
        <w:t xml:space="preserve">made </w:t>
      </w:r>
      <w:r>
        <w:t xml:space="preserve">prior to formal adoption of the new Local Plan, currently targeted for May 2027. </w:t>
      </w:r>
      <w:r w:rsidR="00B61578">
        <w:t>AWS’s next 5-yearly iteration of its DWMP is not scheduled until 2028. Timescales</w:t>
      </w:r>
      <w:r w:rsidR="00B0142E">
        <w:t xml:space="preserve"> for any potential Langham WRC upgrade are therefore highly uncertain</w:t>
      </w:r>
      <w:r w:rsidR="009F3A39">
        <w:t xml:space="preserve">, even before considering the </w:t>
      </w:r>
      <w:r w:rsidR="009F0A6B">
        <w:t>challenges identified by AWS since 2021</w:t>
      </w:r>
      <w:r w:rsidR="003119FC">
        <w:t xml:space="preserve">, summarised above, which demonstrate the sheer scale of the issues </w:t>
      </w:r>
      <w:r w:rsidR="00E54CF2">
        <w:t xml:space="preserve">leading to the breach of the permit </w:t>
      </w:r>
      <w:r w:rsidR="003119FC">
        <w:t>and</w:t>
      </w:r>
      <w:r w:rsidR="00E54CF2">
        <w:t xml:space="preserve"> th</w:t>
      </w:r>
      <w:r w:rsidR="00A367E1">
        <w:t xml:space="preserve">at a </w:t>
      </w:r>
      <w:r w:rsidR="00E54CF2">
        <w:t>solution</w:t>
      </w:r>
      <w:r w:rsidR="00856584">
        <w:t xml:space="preserve"> will be far from straightforward</w:t>
      </w:r>
      <w:r w:rsidR="00B0142E">
        <w:t>.</w:t>
      </w:r>
    </w:p>
    <w:p w14:paraId="38DDB44F" w14:textId="22BEED98" w:rsidR="006475B8" w:rsidRDefault="00964D2F">
      <w:r>
        <w:lastRenderedPageBreak/>
        <w:t xml:space="preserve">The Water Cycle Study references the tension between this investment bottleneck and a stated desire by CCC to commence </w:t>
      </w:r>
      <w:r w:rsidR="008B3877">
        <w:t>house</w:t>
      </w:r>
      <w:r>
        <w:t xml:space="preserve">building at Langham and </w:t>
      </w:r>
      <w:proofErr w:type="spellStart"/>
      <w:r>
        <w:t>Boxted</w:t>
      </w:r>
      <w:proofErr w:type="spellEnd"/>
      <w:r>
        <w:t xml:space="preserve"> early in the P</w:t>
      </w:r>
      <w:r w:rsidR="000D57AE">
        <w:t>lan period. Section 9.2.1 specifically recognises these tensions and recommends further more detailed consultation around funding and timing so as to manage future delivery risks.</w:t>
      </w:r>
    </w:p>
    <w:p w14:paraId="478E060A" w14:textId="3BE8FBE1" w:rsidR="00A8006B" w:rsidRDefault="000D57AE">
      <w:r w:rsidRPr="00C94CAD">
        <w:rPr>
          <w:b/>
        </w:rPr>
        <w:t xml:space="preserve">This clearly highlights a significant deliverability risk with the proposed housing allocations in Langham and </w:t>
      </w:r>
      <w:proofErr w:type="spellStart"/>
      <w:r w:rsidRPr="00C94CAD">
        <w:rPr>
          <w:b/>
        </w:rPr>
        <w:t>Boxted</w:t>
      </w:r>
      <w:proofErr w:type="spellEnd"/>
      <w:r w:rsidRPr="00C94CAD">
        <w:rPr>
          <w:b/>
        </w:rPr>
        <w:t>.</w:t>
      </w:r>
    </w:p>
    <w:p w14:paraId="478E060B" w14:textId="77777777" w:rsidR="0036544C" w:rsidRDefault="0036544C">
      <w:pPr>
        <w:rPr>
          <w:b/>
        </w:rPr>
      </w:pPr>
      <w:r w:rsidRPr="00964D2F">
        <w:rPr>
          <w:b/>
        </w:rPr>
        <w:t>Private sewerage solution feasibility</w:t>
      </w:r>
    </w:p>
    <w:p w14:paraId="478E060C" w14:textId="77777777" w:rsidR="00964D2F" w:rsidRDefault="00964D2F">
      <w:r w:rsidRPr="00964D2F">
        <w:t>The</w:t>
      </w:r>
      <w:r>
        <w:t xml:space="preserve"> Water Cycle Study </w:t>
      </w:r>
      <w:r w:rsidR="000D57AE">
        <w:t>makes a brief mention of the “potential for inset providers to provide wastewater (and water supply infrastructure) outside of the AWS service area.” This is p</w:t>
      </w:r>
      <w:r w:rsidR="00B0142E">
        <w:t>resumably a reference to the appointment</w:t>
      </w:r>
      <w:r w:rsidR="000D57AE">
        <w:t xml:space="preserve"> of an independent </w:t>
      </w:r>
      <w:hyperlink r:id="rId11" w:history="1">
        <w:r w:rsidR="000D57AE" w:rsidRPr="008B3877">
          <w:rPr>
            <w:rStyle w:val="Hyperlink"/>
          </w:rPr>
          <w:t>NAV provider</w:t>
        </w:r>
      </w:hyperlink>
      <w:r w:rsidR="000D57AE">
        <w:t xml:space="preserve">, as regulated by </w:t>
      </w:r>
      <w:proofErr w:type="spellStart"/>
      <w:r w:rsidR="000D57AE">
        <w:t>Ofwat</w:t>
      </w:r>
      <w:proofErr w:type="spellEnd"/>
      <w:r w:rsidR="000D57AE">
        <w:t>, but with the same responsibilities as traditional water companies.</w:t>
      </w:r>
    </w:p>
    <w:p w14:paraId="478E060D" w14:textId="207AC5B4" w:rsidR="00096BD4" w:rsidRDefault="00096BD4" w:rsidP="00096BD4">
      <w:r>
        <w:t>This option may indeed allow for a faster implementation timetable, unconstrained by AWS’s 5 yearly strategic budget planning cycle. It also has the potential to offer a more cost competitive quotation for the large capital investment program required. If a NAV provider is to be appointed, however, they will need to liaise with the Environment Agency to agree permit requirements for discharge to the Black Brook</w:t>
      </w:r>
      <w:r w:rsidR="009E556E">
        <w:t xml:space="preserve"> (or the existing mains sewer system)</w:t>
      </w:r>
      <w:r>
        <w:t>, and these permit requirements will be driven by the same WFD water quality requirements, whoever the sewerage undertaker happens to be.</w:t>
      </w:r>
    </w:p>
    <w:p w14:paraId="478E060E" w14:textId="77777777" w:rsidR="00096BD4" w:rsidRDefault="00096BD4" w:rsidP="00096BD4">
      <w:r>
        <w:t>Whilst the capital costs might be reduced somewhat by the NAV ap</w:t>
      </w:r>
      <w:r w:rsidR="00A779D7">
        <w:t>proach, they will still be very substantial, and a suitable alternative funding source will need to be identified, potentially impacting the viability of the 900 home development.</w:t>
      </w:r>
    </w:p>
    <w:p w14:paraId="41F02483" w14:textId="6E5100F6" w:rsidR="00C4100E" w:rsidRPr="00964D2F" w:rsidRDefault="00C4100E" w:rsidP="00096BD4">
      <w:r>
        <w:t>In addition, any private treatment works that may be provided on the housing site, is likely to require a significant land take for the infrastructure itself and a suitable cordon sanitaire (to address odour and fly nuisance), which may extend beyond 200 metres.  This would also reduce the developable area of the site and reduce housing capacity, which needs to be determined before any housing allocation is confirmed.</w:t>
      </w:r>
    </w:p>
    <w:p w14:paraId="478E060F" w14:textId="77777777" w:rsidR="00096BD4" w:rsidRPr="00A779D7" w:rsidRDefault="00A779D7">
      <w:pPr>
        <w:rPr>
          <w:b/>
        </w:rPr>
      </w:pPr>
      <w:r w:rsidRPr="00A779D7">
        <w:rPr>
          <w:b/>
        </w:rPr>
        <w:t>Surface Water Drainage</w:t>
      </w:r>
    </w:p>
    <w:p w14:paraId="478E0610" w14:textId="77777777" w:rsidR="00A779D7" w:rsidRDefault="00A779D7">
      <w:r>
        <w:t>Provision of adequate surface water drainage is likely to be a very significant challenge to the proposed 900 home development, as a consequence of Langham’s high water table, flat topography and sole discharge pathway via the Black Brook.</w:t>
      </w:r>
    </w:p>
    <w:p w14:paraId="478E0611" w14:textId="77777777" w:rsidR="00461DA6" w:rsidRDefault="00A779D7">
      <w:r>
        <w:t>These challenges have</w:t>
      </w:r>
      <w:r w:rsidR="002E4B08">
        <w:t xml:space="preserve"> already been </w:t>
      </w:r>
      <w:r>
        <w:t xml:space="preserve">clearly </w:t>
      </w:r>
      <w:r w:rsidR="004F57A6">
        <w:t>recognised in an adjacently located 30 home planning application (220595) which received outline planning permission in 2023. The application documents include a Site Specific Flood Risk &amp; Sustainable Drainage Assessment report prepared by Richard Jackson Engineering Consultants.</w:t>
      </w:r>
      <w:r w:rsidR="002E4B08">
        <w:t xml:space="preserve"> </w:t>
      </w:r>
      <w:r w:rsidR="004F57A6">
        <w:t>This report identifies the need for a large water storage basin to regulate surfac</w:t>
      </w:r>
      <w:r w:rsidR="00DA0D6E">
        <w:t>e water discharge</w:t>
      </w:r>
      <w:r w:rsidR="004F57A6">
        <w:t xml:space="preserve"> rates towards the Black Brook. T</w:t>
      </w:r>
      <w:r w:rsidR="00B0142E">
        <w:t>he required storage capacity</w:t>
      </w:r>
      <w:r w:rsidR="004F57A6">
        <w:t xml:space="preserve"> </w:t>
      </w:r>
      <w:r w:rsidR="00461DA6">
        <w:t xml:space="preserve">for this 30 home development was </w:t>
      </w:r>
      <w:r w:rsidR="004F57A6">
        <w:t>assessed as 200 cubic metres, to be implemented via a water storage basin</w:t>
      </w:r>
      <w:r w:rsidR="00461DA6">
        <w:t xml:space="preserve"> with maximum water depth 0.75m and total surface area of 377 square metres.</w:t>
      </w:r>
    </w:p>
    <w:p w14:paraId="478E0612" w14:textId="77777777" w:rsidR="00461DA6" w:rsidRDefault="00461DA6">
      <w:r>
        <w:t>This strongly suggests that an extremely large water storage basin would be required to manage flood risks associated with a 900 home development: potentially larger than a full size professional football pitch, if ground conditions across the site are similar to those on the immediately adjacent site of planning application 220595.</w:t>
      </w:r>
    </w:p>
    <w:p w14:paraId="478E0613" w14:textId="41382559" w:rsidR="008B3877" w:rsidRDefault="00461DA6">
      <w:r>
        <w:lastRenderedPageBreak/>
        <w:t>Such a large water storage basin raises a number of potential safety concerns, as well as viability concerns arising from the neutralisation of a significant amount of potential development land.</w:t>
      </w:r>
      <w:r w:rsidR="00AB7633">
        <w:t xml:space="preserve"> In short, it is unlikely that 900 homes could be built in the area north of Park Lane</w:t>
      </w:r>
      <w:r w:rsidR="002C6756">
        <w:t>, or they would need to be of higher density and further out of keeping with the existing village</w:t>
      </w:r>
      <w:r w:rsidR="00173A99">
        <w:t xml:space="preserve"> character</w:t>
      </w:r>
      <w:r w:rsidR="002C6756">
        <w:t>.</w:t>
      </w:r>
    </w:p>
    <w:p w14:paraId="73564DA4" w14:textId="635DF92A" w:rsidR="00173A99" w:rsidRDefault="00173A99">
      <w:pPr>
        <w:rPr>
          <w:bCs/>
        </w:rPr>
      </w:pPr>
      <w:r>
        <w:rPr>
          <w:b/>
        </w:rPr>
        <w:t>Unrealistic water use targets</w:t>
      </w:r>
    </w:p>
    <w:p w14:paraId="587B862E" w14:textId="13C7A4E9" w:rsidR="00173A99" w:rsidRDefault="00173A99" w:rsidP="00173A99">
      <w:r>
        <w:t>In addition to the need for major infrastructure upgrades at Langham WRC, the Water Cycle Study also recommends a figure of 85 litres per person per day (l/p/d) per capita consumption (PCC) target for new homes to ‘assist’ with the capacity issues at Langham WRC. This target appears to be wholly unrealistic. The water industry has committed to reducing PCC to 110 l/p/d by 2050, and 108 l/p/d by 2050 is currently forecast</w:t>
      </w:r>
      <w:r>
        <w:rPr>
          <w:rStyle w:val="FootnoteReference"/>
        </w:rPr>
        <w:footnoteReference w:id="2"/>
      </w:r>
      <w:r>
        <w:t>. AWS reports that its PCC was 132.0 l/p/d in 2023/24, which it also notes is one of the lowest PCCs in the industry</w:t>
      </w:r>
      <w:r>
        <w:rPr>
          <w:rStyle w:val="FootnoteReference"/>
        </w:rPr>
        <w:footnoteReference w:id="3"/>
      </w:r>
      <w:r>
        <w:t xml:space="preserve">. The suggested target of a PCC of 85 l/p/d for any new property within the catchment of Langham WRC is wildly inconsistent with actual water usage, as it is </w:t>
      </w:r>
      <w:r w:rsidR="00EB4AFC">
        <w:t>less than 65%</w:t>
      </w:r>
      <w:r>
        <w:t xml:space="preserve"> of the current PCC reported by AWS, and 77% of the 2050 target PCC.</w:t>
      </w:r>
    </w:p>
    <w:p w14:paraId="597FB658" w14:textId="77777777" w:rsidR="00AD1F51" w:rsidRDefault="00173A99" w:rsidP="00173A99">
      <w:r>
        <w:t xml:space="preserve">The Water Cycle Study does not set out how </w:t>
      </w:r>
      <w:r w:rsidR="003459D7">
        <w:t xml:space="preserve">it proposes all new properties to use less than 2/3 </w:t>
      </w:r>
      <w:r w:rsidR="008F6040">
        <w:t xml:space="preserve">the amount of water than is typical for the area, particularly when </w:t>
      </w:r>
      <w:r w:rsidR="00522938">
        <w:t xml:space="preserve">water use it is compared against is already lower than the national average. Serious doubt remains as to whether such a low target </w:t>
      </w:r>
      <w:r>
        <w:t>could be achieved.</w:t>
      </w:r>
    </w:p>
    <w:p w14:paraId="7D79C351" w14:textId="77777777" w:rsidR="000C04A7" w:rsidRDefault="00173A99" w:rsidP="00173A99">
      <w:r>
        <w:t xml:space="preserve">The suggested target is misleading as it implies a reduction in water use is a solution to short-term issues of capacity at Langham WRC. However, there is no capacity for any new development irrespective of PCC. </w:t>
      </w:r>
      <w:r w:rsidR="000C04A7">
        <w:t>Policy PP37 also does not enshrine the 85 l/p/d required target, and it is unlikely that a material reduction in water use could be achieved in the absence of the target being mandated and a clear strategy of identified and achievable steps required as part of the policy.</w:t>
      </w:r>
    </w:p>
    <w:p w14:paraId="31CB0AA8" w14:textId="72081478" w:rsidR="00173A99" w:rsidRPr="00173A99" w:rsidRDefault="00173A99" w:rsidP="00173A99">
      <w:pPr>
        <w:rPr>
          <w:bCs/>
        </w:rPr>
      </w:pPr>
      <w:r>
        <w:t>The fact that target is not achievable, and that in any event the policy does not seek to require its achievement, only serves to illustrate the lack of commitment by CCC to ensuring that new development does not overwhelm Langham WRC.</w:t>
      </w:r>
    </w:p>
    <w:p w14:paraId="478E0614" w14:textId="7EED5EAF" w:rsidR="00C8463D" w:rsidRPr="00C8463D" w:rsidRDefault="0048721D">
      <w:pPr>
        <w:rPr>
          <w:b/>
        </w:rPr>
      </w:pPr>
      <w:r>
        <w:rPr>
          <w:b/>
        </w:rPr>
        <w:t xml:space="preserve">Interim </w:t>
      </w:r>
      <w:r w:rsidR="00C8463D" w:rsidRPr="00C8463D">
        <w:rPr>
          <w:b/>
        </w:rPr>
        <w:t>Conclusion</w:t>
      </w:r>
    </w:p>
    <w:p w14:paraId="478E0615" w14:textId="4B0C19CA" w:rsidR="00C8463D" w:rsidRDefault="00C8463D">
      <w:r>
        <w:t xml:space="preserve">Sewage and drainage capacity issues in Langham present a very significant deliverability and </w:t>
      </w:r>
      <w:r w:rsidR="00B51159">
        <w:t xml:space="preserve">commercial </w:t>
      </w:r>
      <w:r>
        <w:t>viability challenge to any large housing allocation in the village. These appear to have been seriously underestimated by Colchester’s Planning team</w:t>
      </w:r>
      <w:r w:rsidR="00C4100E">
        <w:t xml:space="preserve"> and not assessed by the site promoter, which is a significant oversight.</w:t>
      </w:r>
      <w:r>
        <w:t xml:space="preserve"> The draft site allocations should be reappraised with a view to redirecting growth to sites within the catchment areas of WRCs with available headroom to accommodate housing growth.</w:t>
      </w:r>
      <w:r w:rsidR="0048721D">
        <w:t xml:space="preserve"> This conclusion is strengthened still further</w:t>
      </w:r>
      <w:r w:rsidR="00855A14">
        <w:t xml:space="preserve"> by critical</w:t>
      </w:r>
      <w:r w:rsidR="0048721D">
        <w:t xml:space="preserve"> flaw</w:t>
      </w:r>
      <w:r w:rsidR="00855A14">
        <w:t>s</w:t>
      </w:r>
      <w:r w:rsidR="0048721D">
        <w:t xml:space="preserve"> in the Council’s Habitats Regulation Assessment of the potential harmful effects of Langham WRC on the Stour and Orwell Estuaries Special Protection Area, as explained below.</w:t>
      </w:r>
    </w:p>
    <w:p w14:paraId="478E0616" w14:textId="77777777" w:rsidR="0048721D" w:rsidRPr="0048721D" w:rsidRDefault="0048721D">
      <w:pPr>
        <w:rPr>
          <w:b/>
        </w:rPr>
      </w:pPr>
      <w:r w:rsidRPr="0048721D">
        <w:rPr>
          <w:b/>
        </w:rPr>
        <w:t>Flaws in the Habitats Regulation Assessment</w:t>
      </w:r>
    </w:p>
    <w:p w14:paraId="478E0617"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Council has undertaken an assessment of the Local Plan policies pursuant to the Conservation of Habitats and Species Regulations 2017 (Habitats Regulations). Under Regulation 105, where a development plan "is likely to have a significant effect on a European site", an appropriate </w:t>
      </w:r>
      <w:r>
        <w:rPr>
          <w:rFonts w:ascii="Calibri" w:hAnsi="Calibri" w:cs="Calibri"/>
          <w:sz w:val="22"/>
          <w:szCs w:val="22"/>
        </w:rPr>
        <w:lastRenderedPageBreak/>
        <w:t>assessment of the implications for the site in view of that site's conservation objectives must be carried out before the plan is given effect.</w:t>
      </w:r>
    </w:p>
    <w:p w14:paraId="478E0618" w14:textId="77777777" w:rsidR="0048721D" w:rsidRDefault="0048721D" w:rsidP="0048721D">
      <w:pPr>
        <w:pStyle w:val="NormalWeb"/>
        <w:spacing w:before="0" w:beforeAutospacing="0" w:after="0" w:afterAutospacing="0"/>
        <w:rPr>
          <w:rFonts w:ascii="Calibri" w:hAnsi="Calibri" w:cs="Calibri"/>
          <w:sz w:val="22"/>
          <w:szCs w:val="22"/>
        </w:rPr>
      </w:pPr>
    </w:p>
    <w:p w14:paraId="478E0619"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In accordance with Regulation 105(4), the plan can be given effect "only after having ascertained that it will not adversely affect the integrity of the European site", or where the tests in Regulation 107 are met.</w:t>
      </w:r>
    </w:p>
    <w:p w14:paraId="478E061A"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1B"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HRA provided by the Council correctly identifies that the allocations in Langham (primarily Policy PP37) are likely to have a significant effect on a European Site, due to hydraulic connectivity between the Langham Water Recycling Centre (WRC) and the Stour and Orwell Estuaries SPA. This screening stage of the HRA has correctly been carried out without considering whether the adverse effects on site integrity (</w:t>
      </w:r>
      <w:proofErr w:type="spellStart"/>
      <w:r>
        <w:rPr>
          <w:rFonts w:ascii="Calibri" w:hAnsi="Calibri" w:cs="Calibri"/>
          <w:sz w:val="22"/>
          <w:szCs w:val="22"/>
        </w:rPr>
        <w:t>AEoSI</w:t>
      </w:r>
      <w:proofErr w:type="spellEnd"/>
      <w:r>
        <w:rPr>
          <w:rFonts w:ascii="Calibri" w:hAnsi="Calibri" w:cs="Calibri"/>
          <w:sz w:val="22"/>
          <w:szCs w:val="22"/>
        </w:rPr>
        <w:t>) could be avoided through the implementation of mitigation. Mitigation can be considered as part of the second stage of the HRA, the appropriate assessment (AA).</w:t>
      </w:r>
    </w:p>
    <w:p w14:paraId="478E061C"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1D"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AA considers the potential for Policy PP37 to cause </w:t>
      </w:r>
      <w:proofErr w:type="spellStart"/>
      <w:r>
        <w:rPr>
          <w:rFonts w:ascii="Calibri" w:hAnsi="Calibri" w:cs="Calibri"/>
          <w:sz w:val="22"/>
          <w:szCs w:val="22"/>
        </w:rPr>
        <w:t>AEoSI</w:t>
      </w:r>
      <w:proofErr w:type="spellEnd"/>
      <w:r>
        <w:rPr>
          <w:rFonts w:ascii="Calibri" w:hAnsi="Calibri" w:cs="Calibri"/>
          <w:sz w:val="22"/>
          <w:szCs w:val="22"/>
        </w:rPr>
        <w:t xml:space="preserve">. The relevant test for the appropriate assessment is summarised by the Supreme Court in </w:t>
      </w:r>
      <w:r w:rsidRPr="00F1654D">
        <w:rPr>
          <w:rFonts w:ascii="Calibri" w:hAnsi="Calibri" w:cs="Calibri"/>
          <w:i/>
          <w:iCs/>
          <w:sz w:val="22"/>
          <w:szCs w:val="22"/>
        </w:rPr>
        <w:t xml:space="preserve">C G Fry &amp; Son v Secretary of State for Housing, Communities and Local Government </w:t>
      </w:r>
      <w:r>
        <w:rPr>
          <w:rFonts w:ascii="Calibri" w:hAnsi="Calibri" w:cs="Calibri"/>
          <w:sz w:val="22"/>
          <w:szCs w:val="22"/>
        </w:rPr>
        <w:t>[2025] UKSC 35. The competent authority must be "satisfied that there is no reasonable doubt as to the absence of adverse effects on the integrity of the protected site concerned". Further, "if an appropriate assessment is to comply with article 6(3) of the Habitats Directive it ‘cannot have lacunae and must contain complete, precise and definitive findings and conclusions capable of removing all reasonable scientific doubt as to the effects of the works proposed on the protected site concerned’". Article 6(3) of the Habitats Directive is incorporated into English law in the context of new Local Plans as Regulation 105 of the Habitat Regulations.</w:t>
      </w:r>
    </w:p>
    <w:p w14:paraId="478E061E"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1F"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AA relies on the evidence from the Water Cycle Study (WCS) to reach a conclusion that, once mitigation has been taken into consideration, the allocation will not give rise to </w:t>
      </w:r>
      <w:proofErr w:type="spellStart"/>
      <w:r>
        <w:rPr>
          <w:rFonts w:ascii="Calibri" w:hAnsi="Calibri" w:cs="Calibri"/>
          <w:sz w:val="22"/>
          <w:szCs w:val="22"/>
        </w:rPr>
        <w:t>AEoSI</w:t>
      </w:r>
      <w:proofErr w:type="spellEnd"/>
      <w:r>
        <w:rPr>
          <w:rFonts w:ascii="Calibri" w:hAnsi="Calibri" w:cs="Calibri"/>
          <w:sz w:val="22"/>
          <w:szCs w:val="22"/>
        </w:rPr>
        <w:t>. However, this conclusion is fundamentally flawed:</w:t>
      </w:r>
    </w:p>
    <w:p w14:paraId="478E0620" w14:textId="77777777" w:rsidR="0048721D" w:rsidRDefault="0048721D" w:rsidP="0048721D">
      <w:pPr>
        <w:numPr>
          <w:ilvl w:val="0"/>
          <w:numId w:val="2"/>
        </w:numPr>
        <w:spacing w:after="0" w:line="240" w:lineRule="auto"/>
        <w:textAlignment w:val="center"/>
        <w:rPr>
          <w:rFonts w:ascii="Calibri" w:hAnsi="Calibri" w:cs="Calibri"/>
        </w:rPr>
      </w:pPr>
      <w:r>
        <w:rPr>
          <w:rFonts w:ascii="Calibri" w:hAnsi="Calibri" w:cs="Calibri"/>
        </w:rPr>
        <w:t>The AA erroneously relies on a planning condition as mitigation;</w:t>
      </w:r>
    </w:p>
    <w:p w14:paraId="478E0621" w14:textId="77777777" w:rsidR="0048721D" w:rsidRDefault="0048721D" w:rsidP="0048721D">
      <w:pPr>
        <w:numPr>
          <w:ilvl w:val="0"/>
          <w:numId w:val="2"/>
        </w:numPr>
        <w:spacing w:after="0" w:line="240" w:lineRule="auto"/>
        <w:textAlignment w:val="center"/>
        <w:rPr>
          <w:rFonts w:ascii="Calibri" w:hAnsi="Calibri" w:cs="Calibri"/>
        </w:rPr>
      </w:pPr>
      <w:r>
        <w:rPr>
          <w:rFonts w:ascii="Calibri" w:hAnsi="Calibri" w:cs="Calibri"/>
        </w:rPr>
        <w:t xml:space="preserve">The mitigation necessary to make the planning condition effective is of a type that cannot be relied upon, leaving scientific doubt that </w:t>
      </w:r>
      <w:proofErr w:type="spellStart"/>
      <w:r>
        <w:rPr>
          <w:rFonts w:ascii="Calibri" w:hAnsi="Calibri" w:cs="Calibri"/>
        </w:rPr>
        <w:t>AEoSI</w:t>
      </w:r>
      <w:proofErr w:type="spellEnd"/>
      <w:r>
        <w:rPr>
          <w:rFonts w:ascii="Calibri" w:hAnsi="Calibri" w:cs="Calibri"/>
        </w:rPr>
        <w:t xml:space="preserve"> will be avoided;</w:t>
      </w:r>
    </w:p>
    <w:p w14:paraId="478E0622" w14:textId="77777777" w:rsidR="0048721D" w:rsidRDefault="0048721D" w:rsidP="0048721D">
      <w:pPr>
        <w:numPr>
          <w:ilvl w:val="0"/>
          <w:numId w:val="2"/>
        </w:numPr>
        <w:spacing w:after="0" w:line="240" w:lineRule="auto"/>
        <w:textAlignment w:val="center"/>
        <w:rPr>
          <w:rFonts w:ascii="Calibri" w:hAnsi="Calibri" w:cs="Calibri"/>
        </w:rPr>
      </w:pPr>
      <w:r>
        <w:rPr>
          <w:rFonts w:ascii="Calibri" w:hAnsi="Calibri" w:cs="Calibri"/>
        </w:rPr>
        <w:t>The HRA is incomplete as it does not consider the potential for on-site wastewater treatment identified in the WCS; and</w:t>
      </w:r>
    </w:p>
    <w:p w14:paraId="478E0623" w14:textId="77777777" w:rsidR="0048721D" w:rsidRDefault="0048721D" w:rsidP="0048721D">
      <w:pPr>
        <w:numPr>
          <w:ilvl w:val="0"/>
          <w:numId w:val="2"/>
        </w:numPr>
        <w:spacing w:after="0" w:line="240" w:lineRule="auto"/>
        <w:textAlignment w:val="center"/>
        <w:rPr>
          <w:rFonts w:ascii="Calibri" w:hAnsi="Calibri" w:cs="Calibri"/>
        </w:rPr>
      </w:pPr>
      <w:r>
        <w:rPr>
          <w:rFonts w:ascii="Calibri" w:hAnsi="Calibri" w:cs="Calibri"/>
        </w:rPr>
        <w:t>The precautionary principle has not been properly applied.</w:t>
      </w:r>
    </w:p>
    <w:p w14:paraId="478E0624"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25"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WCS provides an assessment for whether improvements could be made to Langham WRC such that the allocation in Policy PP37 (and others within the catchment of Langham WRC) could be constructed without any deterioration in water quality discharge, and therefore no deterioration of the natural habitats within protected sites. The WCS concludes that, with significant infrastructure upgrades, it is possible to accommodate the additional connections and wastewater without a deterioration in water quality. This is deemed to be within Technically Achievable Limits (TAL).</w:t>
      </w:r>
    </w:p>
    <w:p w14:paraId="478E0626"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27"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It is openly acknowledged that, without significant infrastructure improvements at Langham WRC, the discharge will continue to breach the environmental permit. The WCS identifies that Langham WRC would be operating at 125% over-capacity were the allocations built out without Langham WRC being upgraded.</w:t>
      </w:r>
    </w:p>
    <w:p w14:paraId="478E0628"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29"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is clear from the </w:t>
      </w:r>
      <w:r w:rsidR="00855A14">
        <w:rPr>
          <w:rFonts w:ascii="Calibri" w:hAnsi="Calibri" w:cs="Calibri"/>
          <w:sz w:val="22"/>
          <w:szCs w:val="22"/>
        </w:rPr>
        <w:t>WCS</w:t>
      </w:r>
      <w:r>
        <w:rPr>
          <w:rFonts w:ascii="Calibri" w:hAnsi="Calibri" w:cs="Calibri"/>
          <w:sz w:val="22"/>
          <w:szCs w:val="22"/>
        </w:rPr>
        <w:t xml:space="preserve"> that if significant improvements are not carried out to Langham WRC, water quality will deteriorate as a result of the increased discharge flows.</w:t>
      </w:r>
    </w:p>
    <w:p w14:paraId="478E062A"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2B" w14:textId="77777777" w:rsidR="0048721D" w:rsidRDefault="00855A14" w:rsidP="0048721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The WCS</w:t>
      </w:r>
      <w:r w:rsidR="0048721D">
        <w:rPr>
          <w:rFonts w:ascii="Calibri" w:hAnsi="Calibri" w:cs="Calibri"/>
          <w:sz w:val="22"/>
          <w:szCs w:val="22"/>
        </w:rPr>
        <w:t xml:space="preserve"> also notes, at 8.10.1, that "there is potential for on-site wastewater treatment to reduce the burden on the WRC or if required to accommodate the planned development prior to delivery of future WRC improvement schemes. This is applicable to two of the sites at Langham which are strategic sites (over 150 dwellings) and where there is potential for new appointment and variations (NAV) providers to provide wastewater (and water supply infrastructure) outside of the AWS service area".</w:t>
      </w:r>
    </w:p>
    <w:p w14:paraId="478E062C"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2D"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No further information is provided, however LPC understands that the on-site wastewater treatment referred to is </w:t>
      </w:r>
      <w:r w:rsidR="006A4B57">
        <w:rPr>
          <w:rFonts w:ascii="Calibri" w:hAnsi="Calibri" w:cs="Calibri"/>
          <w:sz w:val="22"/>
          <w:szCs w:val="22"/>
        </w:rPr>
        <w:t>a package treatment plant</w:t>
      </w:r>
      <w:r>
        <w:rPr>
          <w:rFonts w:ascii="Calibri" w:hAnsi="Calibri" w:cs="Calibri"/>
          <w:sz w:val="22"/>
          <w:szCs w:val="22"/>
        </w:rPr>
        <w:t xml:space="preserve"> (PTP).</w:t>
      </w:r>
    </w:p>
    <w:p w14:paraId="478E062E"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2F"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There does not appear to be any evidential basis for suggesting that a NAV will be made to create a new s</w:t>
      </w:r>
      <w:r w:rsidR="006A4B57">
        <w:rPr>
          <w:rFonts w:ascii="Calibri" w:hAnsi="Calibri" w:cs="Calibri"/>
          <w:sz w:val="22"/>
          <w:szCs w:val="22"/>
        </w:rPr>
        <w:t>ewerage undertaker for the area, but e</w:t>
      </w:r>
      <w:r>
        <w:rPr>
          <w:rFonts w:ascii="Calibri" w:hAnsi="Calibri" w:cs="Calibri"/>
          <w:sz w:val="22"/>
          <w:szCs w:val="22"/>
        </w:rPr>
        <w:t>ven were this to occur, it is unclear how this would resolve the capacity issue at Langham WRC, as the appointment of a new sewerage undertaker does not require or imply that improvements of existing, transferred infrastructure would be forthcoming.</w:t>
      </w:r>
    </w:p>
    <w:p w14:paraId="478E0630"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31"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AA in the HRA has focused entirely on the work carried out in the WCS to demonstrate that deterioration of water quality can be avoided within TAL. The potential for an on-site solution has not been assessed at all.</w:t>
      </w:r>
    </w:p>
    <w:p w14:paraId="478E0632"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33"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In consequence, in relation to the acknowledged potential for an on-site solution (PTP), the test in the AA has not been met. The Supreme Court in Fry confirmed the rigour required in applying the AA:</w:t>
      </w:r>
    </w:p>
    <w:p w14:paraId="478E0634" w14:textId="77777777" w:rsidR="0048721D" w:rsidRPr="00EB6D99" w:rsidRDefault="0048721D" w:rsidP="0048721D">
      <w:pPr>
        <w:pStyle w:val="NormalWeb"/>
        <w:spacing w:before="0" w:beforeAutospacing="0" w:after="0" w:afterAutospacing="0"/>
        <w:ind w:left="540"/>
        <w:rPr>
          <w:rFonts w:ascii="Calibri" w:hAnsi="Calibri" w:cs="Calibri"/>
          <w:i/>
          <w:iCs/>
          <w:sz w:val="22"/>
          <w:szCs w:val="22"/>
        </w:rPr>
      </w:pPr>
      <w:r w:rsidRPr="00EB6D99">
        <w:rPr>
          <w:rFonts w:ascii="Calibri" w:hAnsi="Calibri" w:cs="Calibri"/>
          <w:i/>
          <w:iCs/>
          <w:sz w:val="22"/>
          <w:szCs w:val="22"/>
        </w:rPr>
        <w:t>“Under article 6(3) of the Habitats Directive, an appropriate assessment of the implications of a plan or project for the site concerned implies that, before the plan or project is approved, all the aspects of the plan or project which can, either individually or in combination with other plans or projects, affect the conservation objectives of that site must be identified, in the light of the best scientific knowledge in the field. The competent national authorities are to authorise an activity on the protected site only if they have made certain that it will not adversely affect the integrity of that site. That is so when there is no reasonable scientific doubt as to the absence of such effects …”</w:t>
      </w:r>
    </w:p>
    <w:p w14:paraId="478E0635" w14:textId="77777777" w:rsidR="0048721D" w:rsidRDefault="0048721D" w:rsidP="0048721D">
      <w:pPr>
        <w:pStyle w:val="NormalWeb"/>
        <w:spacing w:before="0" w:beforeAutospacing="0" w:after="0" w:afterAutospacing="0"/>
        <w:ind w:left="540"/>
        <w:rPr>
          <w:rFonts w:ascii="Calibri" w:hAnsi="Calibri" w:cs="Calibri"/>
          <w:sz w:val="22"/>
          <w:szCs w:val="22"/>
        </w:rPr>
      </w:pPr>
    </w:p>
    <w:p w14:paraId="478E0636"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AA, having not considered the potential for PTP to be used to resolve the sewer capacity issues, has failed to consider all aspects of the plan that could affect the conservation objectives of the protected site. Any PTP would either discharge directly into watercourses leading to the Stour and Orwell Estuaries SPA, or would discharge into the existing sewers to be discharged after further treatment at Langham WRC into watercourses leading to the SPA.</w:t>
      </w:r>
    </w:p>
    <w:p w14:paraId="478E0637" w14:textId="77777777" w:rsidR="0048721D" w:rsidRDefault="0048721D" w:rsidP="0048721D">
      <w:pPr>
        <w:pStyle w:val="NormalWeb"/>
        <w:spacing w:before="0" w:beforeAutospacing="0" w:after="0" w:afterAutospacing="0"/>
        <w:rPr>
          <w:rFonts w:ascii="Calibri" w:hAnsi="Calibri" w:cs="Calibri"/>
          <w:sz w:val="22"/>
          <w:szCs w:val="22"/>
        </w:rPr>
      </w:pPr>
    </w:p>
    <w:p w14:paraId="478E0638"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There is no evidence available within the WCS or in the HRA to show that </w:t>
      </w:r>
      <w:proofErr w:type="spellStart"/>
      <w:r>
        <w:rPr>
          <w:rFonts w:ascii="Calibri" w:hAnsi="Calibri" w:cs="Calibri"/>
          <w:sz w:val="22"/>
          <w:szCs w:val="22"/>
        </w:rPr>
        <w:t>AEoSI</w:t>
      </w:r>
      <w:proofErr w:type="spellEnd"/>
      <w:r>
        <w:rPr>
          <w:rFonts w:ascii="Calibri" w:hAnsi="Calibri" w:cs="Calibri"/>
          <w:sz w:val="22"/>
          <w:szCs w:val="22"/>
        </w:rPr>
        <w:t xml:space="preserve"> would not occur. Therefore, in accordance with the precautionary principle, as </w:t>
      </w:r>
      <w:proofErr w:type="spellStart"/>
      <w:r>
        <w:rPr>
          <w:rFonts w:ascii="Calibri" w:hAnsi="Calibri" w:cs="Calibri"/>
          <w:sz w:val="22"/>
          <w:szCs w:val="22"/>
        </w:rPr>
        <w:t>AEoSI</w:t>
      </w:r>
      <w:proofErr w:type="spellEnd"/>
      <w:r>
        <w:rPr>
          <w:rFonts w:ascii="Calibri" w:hAnsi="Calibri" w:cs="Calibri"/>
          <w:sz w:val="22"/>
          <w:szCs w:val="22"/>
        </w:rPr>
        <w:t xml:space="preserve"> cannot be ruled out beyond reasonable scientific doubt, harm must be assumed.</w:t>
      </w:r>
    </w:p>
    <w:p w14:paraId="478E0639"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478E063A"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Further, whilst the AA does consider the effects of the allocation in Policy PP37 being connected solely to Langham WRC, the conclusion that there will be no </w:t>
      </w:r>
      <w:proofErr w:type="spellStart"/>
      <w:r>
        <w:rPr>
          <w:rFonts w:ascii="Calibri" w:hAnsi="Calibri" w:cs="Calibri"/>
          <w:sz w:val="22"/>
          <w:szCs w:val="22"/>
        </w:rPr>
        <w:t>AEoSI</w:t>
      </w:r>
      <w:proofErr w:type="spellEnd"/>
      <w:r>
        <w:rPr>
          <w:rFonts w:ascii="Calibri" w:hAnsi="Calibri" w:cs="Calibri"/>
          <w:sz w:val="22"/>
          <w:szCs w:val="22"/>
        </w:rPr>
        <w:t xml:space="preserve"> is erroneous and unsafe.</w:t>
      </w:r>
    </w:p>
    <w:p w14:paraId="478E063B"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3C"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AA conclusion of no </w:t>
      </w:r>
      <w:proofErr w:type="spellStart"/>
      <w:r>
        <w:rPr>
          <w:rFonts w:ascii="Calibri" w:hAnsi="Calibri" w:cs="Calibri"/>
          <w:sz w:val="22"/>
          <w:szCs w:val="22"/>
        </w:rPr>
        <w:t>AEoSI</w:t>
      </w:r>
      <w:proofErr w:type="spellEnd"/>
      <w:r>
        <w:rPr>
          <w:rFonts w:ascii="Calibri" w:hAnsi="Calibri" w:cs="Calibri"/>
          <w:sz w:val="22"/>
          <w:szCs w:val="22"/>
        </w:rPr>
        <w:t xml:space="preserve"> relies entirely on the additional discharge being capable of being controlled within 'technically achievable limits' through infrastructure upgrades, and a planning condition being imposed to ensure development does not come forward before that capacity is in place. The required planning condition is effectively an absolute prohibition on a planning application being made until capacity at Langham WRC is secured.</w:t>
      </w:r>
    </w:p>
    <w:p w14:paraId="478E063D"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3E"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In carrying out an AA, the effects of any mitigation measures may be considered. Where the mitigation will be successful at controlling or avoiding impacts, the AA may robustly conclude that the proposals will not result in </w:t>
      </w:r>
      <w:proofErr w:type="spellStart"/>
      <w:r>
        <w:rPr>
          <w:rFonts w:ascii="Calibri" w:hAnsi="Calibri" w:cs="Calibri"/>
          <w:sz w:val="22"/>
          <w:szCs w:val="22"/>
        </w:rPr>
        <w:t>AEoSI</w:t>
      </w:r>
      <w:proofErr w:type="spellEnd"/>
      <w:r>
        <w:rPr>
          <w:rFonts w:ascii="Calibri" w:hAnsi="Calibri" w:cs="Calibri"/>
          <w:sz w:val="22"/>
          <w:szCs w:val="22"/>
        </w:rPr>
        <w:t>. However, the AA in considering Policy PP37 does not rely on mitigation to reach this conclusion. Instead it relies upon a planning condition that effectively requires largely-unspecified but technically achievable mitigation to have been put in place before a planning application is made. There is no strategy for securing the significant infrastructure upgrades that would constitute effective mitigation, and no such upgrades are proposed by Anglian Water to 2050.</w:t>
      </w:r>
    </w:p>
    <w:p w14:paraId="478E063F"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40" w14:textId="77777777" w:rsidR="0048721D" w:rsidRPr="00EB6D99"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Natural England, in its guidance on nutrient neutrality (</w:t>
      </w:r>
      <w:hyperlink r:id="rId12" w:history="1">
        <w:r>
          <w:rPr>
            <w:rStyle w:val="Hyperlink"/>
            <w:rFonts w:ascii="Calibri" w:eastAsiaTheme="majorEastAsia" w:hAnsi="Calibri" w:cs="Calibri"/>
            <w:sz w:val="22"/>
            <w:szCs w:val="22"/>
          </w:rPr>
          <w:t>https://publications.naturalengland.org.uk/file/4553661829873664</w:t>
        </w:r>
      </w:hyperlink>
      <w:r>
        <w:rPr>
          <w:rFonts w:ascii="Calibri" w:hAnsi="Calibri" w:cs="Calibri"/>
          <w:sz w:val="22"/>
          <w:szCs w:val="22"/>
        </w:rPr>
        <w:t xml:space="preserve">), specifically considers potential mitigation measures for circumstances where a development will result in additional nutrient discharge into protected sites, and sets out whether it can be relied upon as mitigation in the context of carrying out an AA. The Supreme Court in </w:t>
      </w:r>
      <w:r>
        <w:rPr>
          <w:rFonts w:ascii="Calibri" w:hAnsi="Calibri" w:cs="Calibri"/>
          <w:i/>
          <w:iCs/>
          <w:sz w:val="22"/>
          <w:szCs w:val="22"/>
        </w:rPr>
        <w:t>Fry</w:t>
      </w:r>
      <w:r>
        <w:rPr>
          <w:rFonts w:ascii="Calibri" w:hAnsi="Calibri" w:cs="Calibri"/>
          <w:sz w:val="22"/>
          <w:szCs w:val="22"/>
        </w:rPr>
        <w:t xml:space="preserve"> confirms that this advice from Natural England constitutes “new scientific information”. It must therefore be taken into account when applying the standard of reasonable scientific doubt when carrying out the AA.</w:t>
      </w:r>
    </w:p>
    <w:p w14:paraId="478E0641"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42"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WCS identifies two potential mitigations for the increased discharge associated with the allocations: improvements to Langham WCS and on-site package treatment plants.</w:t>
      </w:r>
    </w:p>
    <w:p w14:paraId="478E0643"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44"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Both of these mitigation options are identified by Natural England as not being able to be relied upon as mitigation:</w:t>
      </w:r>
    </w:p>
    <w:p w14:paraId="478E0645" w14:textId="77777777" w:rsidR="0048721D" w:rsidRDefault="0048721D" w:rsidP="0048721D">
      <w:pPr>
        <w:numPr>
          <w:ilvl w:val="0"/>
          <w:numId w:val="3"/>
        </w:numPr>
        <w:spacing w:after="0" w:line="240" w:lineRule="auto"/>
        <w:textAlignment w:val="center"/>
        <w:rPr>
          <w:rFonts w:ascii="Calibri" w:hAnsi="Calibri" w:cs="Calibri"/>
        </w:rPr>
      </w:pPr>
      <w:r>
        <w:rPr>
          <w:rFonts w:ascii="Calibri" w:hAnsi="Calibri" w:cs="Calibri"/>
        </w:rPr>
        <w:t>It is not possible to rely on improvements to wastewater treatment works (WWTW) as a mitigation as "currently there is not a mechanism to enable developers to make contributions to water companies to bring forward additional improvements to WWTW."</w:t>
      </w:r>
    </w:p>
    <w:p w14:paraId="478E0646" w14:textId="77777777" w:rsidR="0048721D" w:rsidRDefault="0048721D" w:rsidP="0048721D">
      <w:pPr>
        <w:numPr>
          <w:ilvl w:val="0"/>
          <w:numId w:val="3"/>
        </w:numPr>
        <w:spacing w:after="0" w:line="240" w:lineRule="auto"/>
        <w:textAlignment w:val="center"/>
        <w:rPr>
          <w:rFonts w:ascii="Calibri" w:hAnsi="Calibri" w:cs="Calibri"/>
        </w:rPr>
      </w:pPr>
      <w:r>
        <w:rPr>
          <w:rFonts w:ascii="Calibri" w:hAnsi="Calibri" w:cs="Calibri"/>
        </w:rPr>
        <w:t>It is not possible to rely on potential package treatment plants connecting to the mains because, whilst "cleaner water would reach the WWTW, there would still be an increase in flow. Therefore, due to complexity in the treatment process, this does not necessarily mean it would reduce the total nutrient load discharged from the WWTW. This is the case whether or not the WWTW has a concentration permit or not. Additionally, the Environment Agency do not generally permit PTPs in locations served by mains sewer."</w:t>
      </w:r>
    </w:p>
    <w:p w14:paraId="478E0647"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48"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In the absence of improvements to Langham WRC being planned by Anglian Water and secured in AMP8, the HRA AA has erroneously relied upon such improvements being forthcoming as mitigation. The planning condition purporting to resolve this issue cannot be relied upon due to the lack of any mechanism for the developer to contribute towards improvements at Langham WRC.</w:t>
      </w:r>
    </w:p>
    <w:p w14:paraId="478E0649"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8E064A"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An on-site solution has not been considered in any detail in the WCS, or at all in the HRA. There is no evidence to suggest that the EA would, exceptionally, permit a package treatment plant in this location, whether connecting into the existing sewer main or operating an independent discharge into watercourses leading to the Stour and Orwell Estuaries SPA.</w:t>
      </w:r>
    </w:p>
    <w:p w14:paraId="478E064B" w14:textId="77777777" w:rsidR="0048721D" w:rsidRDefault="0048721D" w:rsidP="0048721D">
      <w:pPr>
        <w:pStyle w:val="NormalWeb"/>
        <w:spacing w:before="0" w:beforeAutospacing="0" w:after="0" w:afterAutospacing="0"/>
        <w:rPr>
          <w:rFonts w:ascii="Calibri" w:hAnsi="Calibri" w:cs="Calibri"/>
          <w:sz w:val="22"/>
          <w:szCs w:val="22"/>
        </w:rPr>
      </w:pPr>
    </w:p>
    <w:p w14:paraId="478E064C"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Accordingly, the conclusion of the AA has erred by relying on improvements to Langham WRC as a mitigation measure. Consistent with the Natural England guidance that such mitigation cannot be relied upon, the AA fails to demonstrate beyond reasonable scientific doubt that the allocation in Policy PP37 will not result in </w:t>
      </w:r>
      <w:proofErr w:type="spellStart"/>
      <w:r>
        <w:rPr>
          <w:rFonts w:ascii="Calibri" w:hAnsi="Calibri" w:cs="Calibri"/>
          <w:sz w:val="22"/>
          <w:szCs w:val="22"/>
        </w:rPr>
        <w:t>AEoSI</w:t>
      </w:r>
      <w:proofErr w:type="spellEnd"/>
      <w:r>
        <w:rPr>
          <w:rFonts w:ascii="Calibri" w:hAnsi="Calibri" w:cs="Calibri"/>
          <w:sz w:val="22"/>
          <w:szCs w:val="22"/>
        </w:rPr>
        <w:t>. Future improvements to wastewater treatment works cannot be relied upon as mitigation due to the lack of a mechanism for the planning system or developers to secure these upgrades. The conclusion from the screening stage, that harm will be caused to the Stour and Orwell Estuaries SPA, must be reinstated as no other mitigation measure is identified that would alter this conclusion.</w:t>
      </w:r>
    </w:p>
    <w:p w14:paraId="478E064D"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4E"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As a further failing of the HRA, the AA relies on a planning condition instead of directly seeking to rely on upgrades to Langham WRC as mitigation. This creates the appearance of environmental protection whilst masking the reality that:</w:t>
      </w:r>
    </w:p>
    <w:p w14:paraId="478E064F" w14:textId="77777777" w:rsidR="0048721D" w:rsidRDefault="0048721D" w:rsidP="0048721D">
      <w:pPr>
        <w:numPr>
          <w:ilvl w:val="0"/>
          <w:numId w:val="4"/>
        </w:numPr>
        <w:spacing w:after="0" w:line="240" w:lineRule="auto"/>
        <w:textAlignment w:val="center"/>
        <w:rPr>
          <w:rFonts w:ascii="Calibri" w:hAnsi="Calibri" w:cs="Calibri"/>
        </w:rPr>
      </w:pPr>
      <w:r>
        <w:rPr>
          <w:rFonts w:ascii="Calibri" w:hAnsi="Calibri" w:cs="Calibri"/>
        </w:rPr>
        <w:t>the necessary infrastructure does not exist;</w:t>
      </w:r>
    </w:p>
    <w:p w14:paraId="478E0650" w14:textId="77777777" w:rsidR="0048721D" w:rsidRDefault="0048721D" w:rsidP="0048721D">
      <w:pPr>
        <w:numPr>
          <w:ilvl w:val="0"/>
          <w:numId w:val="4"/>
        </w:numPr>
        <w:spacing w:after="0" w:line="240" w:lineRule="auto"/>
        <w:textAlignment w:val="center"/>
        <w:rPr>
          <w:rFonts w:ascii="Calibri" w:hAnsi="Calibri" w:cs="Calibri"/>
        </w:rPr>
      </w:pPr>
      <w:r>
        <w:rPr>
          <w:rFonts w:ascii="Calibri" w:hAnsi="Calibri" w:cs="Calibri"/>
        </w:rPr>
        <w:t>no funding is allocated for the necessary infrastructure;</w:t>
      </w:r>
    </w:p>
    <w:p w14:paraId="478E0651" w14:textId="77777777" w:rsidR="0048721D" w:rsidRDefault="007A2016" w:rsidP="0048721D">
      <w:pPr>
        <w:numPr>
          <w:ilvl w:val="0"/>
          <w:numId w:val="4"/>
        </w:numPr>
        <w:spacing w:after="0" w:line="240" w:lineRule="auto"/>
        <w:textAlignment w:val="center"/>
        <w:rPr>
          <w:rFonts w:ascii="Calibri" w:hAnsi="Calibri" w:cs="Calibri"/>
        </w:rPr>
      </w:pPr>
      <w:r>
        <w:rPr>
          <w:rFonts w:ascii="Calibri" w:hAnsi="Calibri" w:cs="Calibri"/>
        </w:rPr>
        <w:t>n</w:t>
      </w:r>
      <w:r w:rsidR="0048721D">
        <w:rPr>
          <w:rFonts w:ascii="Calibri" w:hAnsi="Calibri" w:cs="Calibri"/>
        </w:rPr>
        <w:t>o timeline exists for delivery of the necessary infrastructure;</w:t>
      </w:r>
    </w:p>
    <w:p w14:paraId="478E0652" w14:textId="77777777" w:rsidR="0048721D" w:rsidRDefault="0048721D" w:rsidP="0048721D">
      <w:pPr>
        <w:numPr>
          <w:ilvl w:val="0"/>
          <w:numId w:val="4"/>
        </w:numPr>
        <w:spacing w:after="0" w:line="240" w:lineRule="auto"/>
        <w:textAlignment w:val="center"/>
        <w:rPr>
          <w:rFonts w:ascii="Calibri" w:hAnsi="Calibri" w:cs="Calibri"/>
        </w:rPr>
      </w:pPr>
      <w:r>
        <w:rPr>
          <w:rFonts w:ascii="Calibri" w:hAnsi="Calibri" w:cs="Calibri"/>
        </w:rPr>
        <w:t>future improvements to WWTW cannot be relied upon as mitigation of nutrient impacts to protected sites; and</w:t>
      </w:r>
    </w:p>
    <w:p w14:paraId="478E0653" w14:textId="77777777" w:rsidR="0048721D" w:rsidRDefault="0048721D" w:rsidP="0048721D">
      <w:pPr>
        <w:numPr>
          <w:ilvl w:val="0"/>
          <w:numId w:val="4"/>
        </w:numPr>
        <w:spacing w:after="0" w:line="240" w:lineRule="auto"/>
        <w:textAlignment w:val="center"/>
        <w:rPr>
          <w:rFonts w:ascii="Calibri" w:hAnsi="Calibri" w:cs="Calibri"/>
        </w:rPr>
      </w:pPr>
      <w:proofErr w:type="gramStart"/>
      <w:r>
        <w:rPr>
          <w:rFonts w:ascii="Calibri" w:hAnsi="Calibri" w:cs="Calibri"/>
        </w:rPr>
        <w:t>on-site</w:t>
      </w:r>
      <w:proofErr w:type="gramEnd"/>
      <w:r>
        <w:rPr>
          <w:rFonts w:ascii="Calibri" w:hAnsi="Calibri" w:cs="Calibri"/>
        </w:rPr>
        <w:t xml:space="preserve"> mitigation in the form of package treatment is unlikely to be permitted by the EA due to the presence of mains sewers in the location.</w:t>
      </w:r>
    </w:p>
    <w:p w14:paraId="478E0654" w14:textId="77777777" w:rsidR="0048721D" w:rsidRDefault="0048721D" w:rsidP="0048721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8E0655"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strategy of relying on a planning condition in place of identified mitigation creates a significant risk of a breach of the HRA in future, leading to harm to protected sites. A condition is only effective if it is properly enforced, and there is significant risk that it would not be enforced properly because of:</w:t>
      </w:r>
    </w:p>
    <w:p w14:paraId="478E0656" w14:textId="77777777" w:rsidR="0048721D" w:rsidRDefault="0048721D" w:rsidP="0048721D">
      <w:pPr>
        <w:numPr>
          <w:ilvl w:val="0"/>
          <w:numId w:val="5"/>
        </w:numPr>
        <w:spacing w:line="240" w:lineRule="auto"/>
        <w:textAlignment w:val="center"/>
        <w:rPr>
          <w:rFonts w:ascii="Calibri" w:hAnsi="Calibri" w:cs="Calibri"/>
        </w:rPr>
      </w:pPr>
      <w:r>
        <w:rPr>
          <w:rFonts w:ascii="Calibri" w:hAnsi="Calibri" w:cs="Calibri"/>
          <w:b/>
          <w:bCs/>
        </w:rPr>
        <w:t>Development pressure</w:t>
      </w:r>
      <w:r>
        <w:rPr>
          <w:rFonts w:ascii="Calibri" w:hAnsi="Calibri" w:cs="Calibri"/>
        </w:rPr>
        <w:t>: The site is allocated in the Local Plan for 900 homes. Developers will have a strong commercial incentive to submit planning applications and may argue that capacity issues can be resolved through planning conditions or section 106 agreements attached to individual planning permissions;</w:t>
      </w:r>
    </w:p>
    <w:p w14:paraId="478E0657" w14:textId="77777777" w:rsidR="0048721D" w:rsidRDefault="0048721D" w:rsidP="0048721D">
      <w:pPr>
        <w:numPr>
          <w:ilvl w:val="0"/>
          <w:numId w:val="6"/>
        </w:numPr>
        <w:spacing w:line="240" w:lineRule="auto"/>
        <w:textAlignment w:val="center"/>
        <w:rPr>
          <w:rFonts w:ascii="Calibri" w:hAnsi="Calibri" w:cs="Calibri"/>
        </w:rPr>
      </w:pPr>
      <w:r>
        <w:rPr>
          <w:rFonts w:ascii="Calibri" w:hAnsi="Calibri" w:cs="Calibri"/>
          <w:b/>
          <w:bCs/>
        </w:rPr>
        <w:t>Housing delivery pressure</w:t>
      </w:r>
      <w:r>
        <w:rPr>
          <w:rFonts w:ascii="Calibri" w:hAnsi="Calibri" w:cs="Calibri"/>
        </w:rPr>
        <w:t>: The Council will be under pressure to maintain a five-year housing land supply and may be reluctant to refuse applications that would contribute to meeting housing targets, particularly where the site is allocated in the adopted Local Plan;</w:t>
      </w:r>
    </w:p>
    <w:p w14:paraId="478E0658" w14:textId="77777777" w:rsidR="0048721D" w:rsidRDefault="0048721D" w:rsidP="0048721D">
      <w:pPr>
        <w:numPr>
          <w:ilvl w:val="0"/>
          <w:numId w:val="6"/>
        </w:numPr>
        <w:spacing w:line="240" w:lineRule="auto"/>
        <w:textAlignment w:val="center"/>
        <w:rPr>
          <w:rFonts w:ascii="Calibri" w:hAnsi="Calibri" w:cs="Calibri"/>
        </w:rPr>
      </w:pPr>
      <w:r>
        <w:rPr>
          <w:rFonts w:ascii="Calibri" w:hAnsi="Calibri" w:cs="Calibri"/>
          <w:b/>
          <w:bCs/>
        </w:rPr>
        <w:t>Definitional ambiguity</w:t>
      </w:r>
      <w:r>
        <w:rPr>
          <w:rFonts w:ascii="Calibri" w:hAnsi="Calibri" w:cs="Calibri"/>
        </w:rPr>
        <w:t>: Policy NZ3 requires applicants to 'demonstrate they have confirmed with Anglian Water Services that treatment capacity at the Water Recycling Centre is available'. Developers may argue that capacity will be 'available' once improvements are funded/designed/under construction, even if not yet implemented and operational;</w:t>
      </w:r>
    </w:p>
    <w:p w14:paraId="478E0659" w14:textId="77777777" w:rsidR="0048721D" w:rsidRDefault="0048721D" w:rsidP="0048721D">
      <w:pPr>
        <w:numPr>
          <w:ilvl w:val="0"/>
          <w:numId w:val="6"/>
        </w:numPr>
        <w:spacing w:line="240" w:lineRule="auto"/>
        <w:textAlignment w:val="center"/>
        <w:rPr>
          <w:rFonts w:ascii="Calibri" w:hAnsi="Calibri" w:cs="Calibri"/>
        </w:rPr>
      </w:pPr>
      <w:r>
        <w:rPr>
          <w:rFonts w:ascii="Calibri" w:hAnsi="Calibri" w:cs="Calibri"/>
          <w:b/>
          <w:bCs/>
        </w:rPr>
        <w:t>Planning judgement</w:t>
      </w:r>
      <w:r>
        <w:rPr>
          <w:rFonts w:ascii="Calibri" w:hAnsi="Calibri" w:cs="Calibri"/>
        </w:rPr>
        <w:t>: Determining officers and planning committees must make judgements about whether adequate evidence has been provided. These judgements may be influenced by broader policy objectives around housing delivery;</w:t>
      </w:r>
    </w:p>
    <w:p w14:paraId="478E065A" w14:textId="77777777" w:rsidR="0048721D" w:rsidRPr="00F1654D" w:rsidRDefault="0048721D" w:rsidP="0048721D">
      <w:pPr>
        <w:numPr>
          <w:ilvl w:val="0"/>
          <w:numId w:val="6"/>
        </w:numPr>
        <w:spacing w:line="240" w:lineRule="auto"/>
        <w:textAlignment w:val="center"/>
        <w:rPr>
          <w:rFonts w:ascii="Calibri" w:hAnsi="Calibri" w:cs="Calibri"/>
        </w:rPr>
      </w:pPr>
      <w:r>
        <w:rPr>
          <w:rFonts w:ascii="Calibri" w:hAnsi="Calibri" w:cs="Calibri"/>
          <w:b/>
          <w:bCs/>
        </w:rPr>
        <w:t>Appeals</w:t>
      </w:r>
      <w:r>
        <w:rPr>
          <w:rFonts w:ascii="Calibri" w:hAnsi="Calibri" w:cs="Calibri"/>
        </w:rPr>
        <w:t>: Even if the Council refuses applications on capacity grounds, applicants may appeal. Inspectors may take a different view, particularly if the site is allocated and the applicant offers section 106 contributions toward infrastructure.</w:t>
      </w:r>
    </w:p>
    <w:p w14:paraId="478E065B"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There is therefore no evidence, and certainly no evidence beyond reasonable scientific doubt, that adverse effects on integrity will not occur as a result of the allocation. The precautionary principle requires that, in the absence of evidence beyond reasonable scientific doubt that harm will not occur, such harm must be assumed.</w:t>
      </w:r>
    </w:p>
    <w:p w14:paraId="4A2A767C" w14:textId="77777777" w:rsidR="00944FA4" w:rsidRDefault="00944FA4" w:rsidP="0048721D">
      <w:pPr>
        <w:pStyle w:val="NormalWeb"/>
        <w:spacing w:before="0" w:beforeAutospacing="0" w:after="0" w:afterAutospacing="0"/>
        <w:rPr>
          <w:rFonts w:ascii="Calibri" w:hAnsi="Calibri" w:cs="Calibri"/>
          <w:sz w:val="22"/>
          <w:szCs w:val="22"/>
        </w:rPr>
      </w:pPr>
    </w:p>
    <w:p w14:paraId="478E065D"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Local Plan cannot therefore be approved whilst Policy PP37 remains unless the strict tests in Regulation 107 are met. These require that there are no alternatives to the policy and that there are imperative reasons of overriding public interest for its inclusion. Further, compensatory measures for the harm must be included in the Local Plan.</w:t>
      </w:r>
    </w:p>
    <w:p w14:paraId="478E065E" w14:textId="77777777" w:rsidR="007A2016" w:rsidRDefault="007A2016" w:rsidP="0048721D">
      <w:pPr>
        <w:pStyle w:val="NormalWeb"/>
        <w:spacing w:before="0" w:beforeAutospacing="0" w:after="0" w:afterAutospacing="0"/>
        <w:rPr>
          <w:rFonts w:ascii="Calibri" w:hAnsi="Calibri" w:cs="Calibri"/>
          <w:sz w:val="22"/>
          <w:szCs w:val="22"/>
        </w:rPr>
      </w:pPr>
    </w:p>
    <w:p w14:paraId="478E065F"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Council has undertaken a site selection process to identify sites for allocations within the Local Plan. Other sites are available that are less constrained than locations in Langham, and which would not result in harm to protected habitats. There are clear alternatives to Policy PP37.</w:t>
      </w:r>
    </w:p>
    <w:p w14:paraId="478E0660"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br/>
        <w:t>As a single allocation within a larger Local Plan, there are no imperative reasons of overriding public interest. On the contrary, Policy PP37 does not meet the soundness tests in the NPPF:</w:t>
      </w:r>
    </w:p>
    <w:p w14:paraId="478E0661" w14:textId="77777777" w:rsidR="0048721D" w:rsidRDefault="0048721D" w:rsidP="0048721D">
      <w:pPr>
        <w:pStyle w:val="Level3"/>
        <w:numPr>
          <w:ilvl w:val="0"/>
          <w:numId w:val="0"/>
        </w:numPr>
        <w:ind w:left="357"/>
      </w:pPr>
      <w:r w:rsidRPr="00DD4A03">
        <w:rPr>
          <w:b/>
          <w:bCs/>
        </w:rPr>
        <w:lastRenderedPageBreak/>
        <w:t>Not Positively Prepared</w:t>
      </w:r>
      <w:r>
        <w:t>: The allocation does not meet objectively assessed needs because it is not deliverable. A site with zero infrastructure capacity and no delivery plan cannot contribute to meeting housing needs.</w:t>
      </w:r>
    </w:p>
    <w:p w14:paraId="478E0662" w14:textId="77777777" w:rsidR="0048721D" w:rsidRDefault="0048721D" w:rsidP="0048721D">
      <w:pPr>
        <w:pStyle w:val="Level3"/>
        <w:numPr>
          <w:ilvl w:val="0"/>
          <w:numId w:val="0"/>
        </w:numPr>
        <w:ind w:left="357"/>
      </w:pPr>
      <w:r w:rsidRPr="00DD4A03">
        <w:rPr>
          <w:b/>
          <w:bCs/>
        </w:rPr>
        <w:t>Not Justified</w:t>
      </w:r>
      <w:r>
        <w:t>: The strategy of allocating a site subject to a de facto moratorium is not the most appropriate strategy. Alternative sites without such fundamental constraints should be preferred.</w:t>
      </w:r>
    </w:p>
    <w:p w14:paraId="478E0663" w14:textId="77777777" w:rsidR="0048721D" w:rsidRDefault="0048721D" w:rsidP="0048721D">
      <w:pPr>
        <w:pStyle w:val="Level3"/>
        <w:numPr>
          <w:ilvl w:val="0"/>
          <w:numId w:val="0"/>
        </w:numPr>
        <w:ind w:left="357"/>
      </w:pPr>
      <w:r w:rsidRPr="00DD4A03">
        <w:rPr>
          <w:b/>
          <w:bCs/>
        </w:rPr>
        <w:t>Not Effective</w:t>
      </w:r>
      <w:r>
        <w:t>: The allocation cannot be delivered within the plan period given infrastructure constraints. No investment at Langham WRC is proposed by Anglian Water Services up to 2050. Investment on the scale required is unlikely within the lifetime of the Plan.</w:t>
      </w:r>
    </w:p>
    <w:p w14:paraId="478E0664" w14:textId="77777777" w:rsidR="0048721D" w:rsidRDefault="0048721D" w:rsidP="0048721D">
      <w:pPr>
        <w:pStyle w:val="Level3"/>
        <w:numPr>
          <w:ilvl w:val="0"/>
          <w:numId w:val="0"/>
        </w:numPr>
        <w:ind w:left="357"/>
      </w:pPr>
      <w:r w:rsidRPr="00DD4A03">
        <w:rPr>
          <w:b/>
          <w:bCs/>
        </w:rPr>
        <w:t>Not Consistent with National Policy</w:t>
      </w:r>
      <w:r>
        <w:t>: NPPF paragraph 16b requires plans to be prepared positively in a way that is aspirational but deliverable. NPPF paragraph 16c requires plans to be shaped by early, proportionate and effective engagement between plan-makers and … infrastructure providers. The absence of any funded infrastructure solution for Langham demonstrates this engagement has not resulted in effective delivery plans.</w:t>
      </w:r>
    </w:p>
    <w:p w14:paraId="478E0665"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The public interest therefore goes against making the allocation. Policy PP37 fails both elements of the test in Regulation 107.</w:t>
      </w:r>
    </w:p>
    <w:p w14:paraId="478E0666" w14:textId="77777777" w:rsidR="0048721D" w:rsidRDefault="0048721D" w:rsidP="0048721D">
      <w:pPr>
        <w:pStyle w:val="NormalWeb"/>
        <w:spacing w:before="0" w:beforeAutospacing="0" w:after="0" w:afterAutospacing="0"/>
        <w:rPr>
          <w:rFonts w:ascii="Calibri" w:hAnsi="Calibri" w:cs="Calibri"/>
          <w:sz w:val="22"/>
          <w:szCs w:val="22"/>
        </w:rPr>
      </w:pPr>
    </w:p>
    <w:p w14:paraId="478E0667" w14:textId="77777777" w:rsidR="00B0142E" w:rsidRPr="00B0142E" w:rsidRDefault="00B0142E" w:rsidP="0048721D">
      <w:pPr>
        <w:pStyle w:val="NormalWeb"/>
        <w:spacing w:before="0" w:beforeAutospacing="0" w:after="0" w:afterAutospacing="0"/>
        <w:rPr>
          <w:rFonts w:ascii="Calibri" w:hAnsi="Calibri" w:cs="Calibri"/>
          <w:b/>
          <w:sz w:val="22"/>
          <w:szCs w:val="22"/>
        </w:rPr>
      </w:pPr>
      <w:r w:rsidRPr="00B0142E">
        <w:rPr>
          <w:rFonts w:ascii="Calibri" w:hAnsi="Calibri" w:cs="Calibri"/>
          <w:b/>
          <w:sz w:val="22"/>
          <w:szCs w:val="22"/>
        </w:rPr>
        <w:t>Final Conclusion</w:t>
      </w:r>
    </w:p>
    <w:p w14:paraId="478E0668" w14:textId="77777777" w:rsidR="00B0142E" w:rsidRDefault="00B0142E" w:rsidP="0048721D">
      <w:pPr>
        <w:pStyle w:val="NormalWeb"/>
        <w:spacing w:before="0" w:beforeAutospacing="0" w:after="0" w:afterAutospacing="0"/>
        <w:rPr>
          <w:rFonts w:ascii="Calibri" w:hAnsi="Calibri" w:cs="Calibri"/>
          <w:sz w:val="22"/>
          <w:szCs w:val="22"/>
        </w:rPr>
      </w:pPr>
    </w:p>
    <w:p w14:paraId="478E0669" w14:textId="77777777" w:rsidR="0048721D" w:rsidRDefault="0048721D" w:rsidP="0048721D">
      <w:pPr>
        <w:pStyle w:val="NormalWeb"/>
        <w:spacing w:before="0" w:beforeAutospacing="0" w:after="0" w:afterAutospacing="0"/>
        <w:rPr>
          <w:rFonts w:ascii="Calibri" w:hAnsi="Calibri" w:cs="Calibri"/>
          <w:sz w:val="22"/>
          <w:szCs w:val="22"/>
        </w:rPr>
      </w:pPr>
      <w:r>
        <w:rPr>
          <w:rFonts w:ascii="Calibri" w:hAnsi="Calibri" w:cs="Calibri"/>
          <w:sz w:val="22"/>
          <w:szCs w:val="22"/>
        </w:rPr>
        <w:t>Policy PP37 is therefore wholly unsustainable, and the case for its inclusion has not been made out. The Habitats Regulations have not been complied with and continued inclusion of Policy PP37 places the entire Local Plan at risk of challenge, along with any planning permissions that may be granted pursuant to this. The policy must be removed from the Local Plan.</w:t>
      </w:r>
    </w:p>
    <w:p w14:paraId="478E066A" w14:textId="77777777" w:rsidR="0048721D" w:rsidRPr="00F1654D" w:rsidRDefault="0048721D" w:rsidP="0048721D">
      <w:pPr>
        <w:pStyle w:val="NormalWeb"/>
        <w:spacing w:before="0" w:beforeAutospacing="0" w:after="0" w:afterAutospacing="0"/>
        <w:rPr>
          <w:rFonts w:ascii="Calibri" w:hAnsi="Calibri" w:cs="Calibri"/>
          <w:sz w:val="22"/>
          <w:szCs w:val="22"/>
        </w:rPr>
      </w:pPr>
    </w:p>
    <w:p w14:paraId="478E066E" w14:textId="77777777" w:rsidR="00C8463D" w:rsidRDefault="00C8463D"/>
    <w:p w14:paraId="0135CEBD" w14:textId="1AB293BB" w:rsidR="00C4100E" w:rsidRDefault="00C4100E">
      <w:r>
        <w:t>Langham Parish Council</w:t>
      </w:r>
    </w:p>
    <w:p w14:paraId="0E8836FF" w14:textId="611C1B98" w:rsidR="00C4100E" w:rsidRPr="00964D2F" w:rsidRDefault="00C4100E">
      <w:r>
        <w:t>12</w:t>
      </w:r>
      <w:r w:rsidRPr="00C4100E">
        <w:rPr>
          <w:vertAlign w:val="superscript"/>
        </w:rPr>
        <w:t>th</w:t>
      </w:r>
      <w:r>
        <w:t xml:space="preserve"> January 2026</w:t>
      </w:r>
    </w:p>
    <w:sectPr w:rsidR="00C4100E" w:rsidRPr="00964D2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E4B464" w16cex:dateUtc="2026-01-11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A53A8" w16cid:durableId="6FE4B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FA47" w14:textId="77777777" w:rsidR="003C69F9" w:rsidRDefault="003C69F9" w:rsidP="00EB0413">
      <w:pPr>
        <w:spacing w:after="0" w:line="240" w:lineRule="auto"/>
      </w:pPr>
      <w:r>
        <w:separator/>
      </w:r>
    </w:p>
  </w:endnote>
  <w:endnote w:type="continuationSeparator" w:id="0">
    <w:p w14:paraId="2948CD98" w14:textId="77777777" w:rsidR="003C69F9" w:rsidRDefault="003C69F9" w:rsidP="00EB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4404F" w14:textId="77777777" w:rsidR="003C69F9" w:rsidRDefault="003C69F9" w:rsidP="00EB0413">
      <w:pPr>
        <w:spacing w:after="0" w:line="240" w:lineRule="auto"/>
      </w:pPr>
      <w:r>
        <w:separator/>
      </w:r>
    </w:p>
  </w:footnote>
  <w:footnote w:type="continuationSeparator" w:id="0">
    <w:p w14:paraId="196C5DF6" w14:textId="77777777" w:rsidR="003C69F9" w:rsidRDefault="003C69F9" w:rsidP="00EB0413">
      <w:pPr>
        <w:spacing w:after="0" w:line="240" w:lineRule="auto"/>
      </w:pPr>
      <w:r>
        <w:continuationSeparator/>
      </w:r>
    </w:p>
  </w:footnote>
  <w:footnote w:id="1">
    <w:p w14:paraId="2CCD838A" w14:textId="45656BDB" w:rsidR="00EB0413" w:rsidRDefault="00EB0413">
      <w:pPr>
        <w:pStyle w:val="FootnoteText"/>
      </w:pPr>
      <w:r>
        <w:rPr>
          <w:rStyle w:val="FootnoteReference"/>
        </w:rPr>
        <w:footnoteRef/>
      </w:r>
      <w:r>
        <w:t xml:space="preserve"> </w:t>
      </w:r>
      <w:r w:rsidR="00041D7B">
        <w:t xml:space="preserve">Q80 </w:t>
      </w:r>
      <w:r w:rsidR="008B456D">
        <w:t>represents the flows during dry weather</w:t>
      </w:r>
      <w:r w:rsidR="00E14E80">
        <w:t>, where there is no rainwater infiltration inflating the volumes</w:t>
      </w:r>
      <w:r w:rsidR="008B456D">
        <w:t xml:space="preserve">, as it is </w:t>
      </w:r>
      <w:r w:rsidR="00F564D5">
        <w:t xml:space="preserve">the value </w:t>
      </w:r>
      <w:r w:rsidR="00D330F0">
        <w:t>where only 20% of days result in lower discharge flows.</w:t>
      </w:r>
    </w:p>
  </w:footnote>
  <w:footnote w:id="2">
    <w:p w14:paraId="0438883B" w14:textId="77777777" w:rsidR="00173A99" w:rsidRDefault="00173A99" w:rsidP="00173A99">
      <w:pPr>
        <w:pStyle w:val="FootnoteText"/>
      </w:pPr>
      <w:r>
        <w:rPr>
          <w:rStyle w:val="FootnoteReference"/>
        </w:rPr>
        <w:footnoteRef/>
      </w:r>
      <w:r>
        <w:t xml:space="preserve"> </w:t>
      </w:r>
      <w:r w:rsidRPr="00653CD0">
        <w:t>https://www.gov.uk/government/publications/a-review-of-englands-draft-regional-and-water-resources-management-plans/a-summary-of-englands-draft-regional-and-water-resources-management-plans</w:t>
      </w:r>
    </w:p>
  </w:footnote>
  <w:footnote w:id="3">
    <w:p w14:paraId="07CEE6DA" w14:textId="77777777" w:rsidR="00173A99" w:rsidRDefault="00173A99" w:rsidP="00173A99">
      <w:pPr>
        <w:pStyle w:val="FootnoteText"/>
      </w:pPr>
      <w:r>
        <w:rPr>
          <w:rStyle w:val="FootnoteReference"/>
        </w:rPr>
        <w:footnoteRef/>
      </w:r>
      <w:r>
        <w:t xml:space="preserve"> </w:t>
      </w:r>
      <w:r w:rsidRPr="009E287F">
        <w:t>https://www.anglianwater.co.uk/siteassets/household/about-us/our-reports/service-commitment-plan-2024.pdf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D7977"/>
    <w:multiLevelType w:val="multilevel"/>
    <w:tmpl w:val="16CE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87B5D"/>
    <w:multiLevelType w:val="hybridMultilevel"/>
    <w:tmpl w:val="965252E2"/>
    <w:lvl w:ilvl="0" w:tplc="9774B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7465C"/>
    <w:multiLevelType w:val="multilevel"/>
    <w:tmpl w:val="F55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A5879"/>
    <w:multiLevelType w:val="multilevel"/>
    <w:tmpl w:val="DDB27C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9724D97"/>
    <w:multiLevelType w:val="multilevel"/>
    <w:tmpl w:val="D0D61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F4E108D"/>
    <w:multiLevelType w:val="multilevel"/>
    <w:tmpl w:val="92263ADC"/>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92" w:hanging="792"/>
      </w:pPr>
    </w:lvl>
    <w:lvl w:ilvl="2">
      <w:start w:val="1"/>
      <w:numFmt w:val="decimal"/>
      <w:pStyle w:val="Level3"/>
      <w:lvlText w:val="%1.%2.%3."/>
      <w:lvlJc w:val="left"/>
      <w:pPr>
        <w:ind w:left="1224" w:hanging="867"/>
      </w:pPr>
      <w:rPr>
        <w:rFonts w:hint="default"/>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DE5CE2"/>
    <w:multiLevelType w:val="multilevel"/>
    <w:tmpl w:val="18B07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num>
  <w:num w:numId="5">
    <w:abstractNumId w:val="6"/>
    <w:lvlOverride w:ilvl="0">
      <w:startOverride w:val="1"/>
    </w:lvlOverride>
  </w:num>
  <w:num w:numId="6">
    <w:abstractNumId w:val="4"/>
    <w:lvlOverride w:ilvl="0">
      <w:startOverride w:val="2"/>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4C"/>
    <w:rsid w:val="0000340F"/>
    <w:rsid w:val="00025A3E"/>
    <w:rsid w:val="00041D7B"/>
    <w:rsid w:val="0007514B"/>
    <w:rsid w:val="00081922"/>
    <w:rsid w:val="00096BD4"/>
    <w:rsid w:val="000B69BE"/>
    <w:rsid w:val="000C04A7"/>
    <w:rsid w:val="000D3AFF"/>
    <w:rsid w:val="000D57AE"/>
    <w:rsid w:val="000E0805"/>
    <w:rsid w:val="000F5460"/>
    <w:rsid w:val="001323AB"/>
    <w:rsid w:val="001330C3"/>
    <w:rsid w:val="00134831"/>
    <w:rsid w:val="00155013"/>
    <w:rsid w:val="00173A99"/>
    <w:rsid w:val="00175797"/>
    <w:rsid w:val="00186335"/>
    <w:rsid w:val="00194BC2"/>
    <w:rsid w:val="001B04E6"/>
    <w:rsid w:val="001C2910"/>
    <w:rsid w:val="001D6AB7"/>
    <w:rsid w:val="001E39AC"/>
    <w:rsid w:val="00210693"/>
    <w:rsid w:val="00224B56"/>
    <w:rsid w:val="00242354"/>
    <w:rsid w:val="00285587"/>
    <w:rsid w:val="00292253"/>
    <w:rsid w:val="00294437"/>
    <w:rsid w:val="002B2893"/>
    <w:rsid w:val="002C1385"/>
    <w:rsid w:val="002C6756"/>
    <w:rsid w:val="002E4B08"/>
    <w:rsid w:val="002F3F6B"/>
    <w:rsid w:val="00300C94"/>
    <w:rsid w:val="003119FC"/>
    <w:rsid w:val="0032490E"/>
    <w:rsid w:val="003459D7"/>
    <w:rsid w:val="0036544C"/>
    <w:rsid w:val="003839EC"/>
    <w:rsid w:val="003C35AC"/>
    <w:rsid w:val="003C3DF5"/>
    <w:rsid w:val="003C69F9"/>
    <w:rsid w:val="003C7A43"/>
    <w:rsid w:val="003E567A"/>
    <w:rsid w:val="004361EC"/>
    <w:rsid w:val="00461DA6"/>
    <w:rsid w:val="00485B7E"/>
    <w:rsid w:val="0048721D"/>
    <w:rsid w:val="00492D95"/>
    <w:rsid w:val="004C08C4"/>
    <w:rsid w:val="004C758A"/>
    <w:rsid w:val="004D4EE1"/>
    <w:rsid w:val="004F4609"/>
    <w:rsid w:val="004F57A6"/>
    <w:rsid w:val="00502A8C"/>
    <w:rsid w:val="00504BAF"/>
    <w:rsid w:val="0050593A"/>
    <w:rsid w:val="00513824"/>
    <w:rsid w:val="00522938"/>
    <w:rsid w:val="005259C0"/>
    <w:rsid w:val="00555F04"/>
    <w:rsid w:val="00576113"/>
    <w:rsid w:val="005D5C4B"/>
    <w:rsid w:val="005D651F"/>
    <w:rsid w:val="005E2A87"/>
    <w:rsid w:val="006267F4"/>
    <w:rsid w:val="006475B8"/>
    <w:rsid w:val="00653CD0"/>
    <w:rsid w:val="00697724"/>
    <w:rsid w:val="006A4B57"/>
    <w:rsid w:val="006C2F88"/>
    <w:rsid w:val="006D7C6C"/>
    <w:rsid w:val="006F5FE9"/>
    <w:rsid w:val="00706CE7"/>
    <w:rsid w:val="00722F09"/>
    <w:rsid w:val="00733CCB"/>
    <w:rsid w:val="00734FE5"/>
    <w:rsid w:val="0078780A"/>
    <w:rsid w:val="00790B0D"/>
    <w:rsid w:val="00797D44"/>
    <w:rsid w:val="007A2016"/>
    <w:rsid w:val="007B760A"/>
    <w:rsid w:val="007C2D38"/>
    <w:rsid w:val="007C6DFC"/>
    <w:rsid w:val="008167E0"/>
    <w:rsid w:val="00846D76"/>
    <w:rsid w:val="00851AC3"/>
    <w:rsid w:val="00855A14"/>
    <w:rsid w:val="00856584"/>
    <w:rsid w:val="008620A0"/>
    <w:rsid w:val="008A1D94"/>
    <w:rsid w:val="008B3877"/>
    <w:rsid w:val="008B456D"/>
    <w:rsid w:val="008C424F"/>
    <w:rsid w:val="008D3E6D"/>
    <w:rsid w:val="008E03D1"/>
    <w:rsid w:val="008F6040"/>
    <w:rsid w:val="00923380"/>
    <w:rsid w:val="00924154"/>
    <w:rsid w:val="00944FA4"/>
    <w:rsid w:val="00950F0E"/>
    <w:rsid w:val="00964D2F"/>
    <w:rsid w:val="00973F6C"/>
    <w:rsid w:val="009A093C"/>
    <w:rsid w:val="009D7554"/>
    <w:rsid w:val="009E287F"/>
    <w:rsid w:val="009E556E"/>
    <w:rsid w:val="009F0A6B"/>
    <w:rsid w:val="009F3A39"/>
    <w:rsid w:val="00A06ECA"/>
    <w:rsid w:val="00A3265D"/>
    <w:rsid w:val="00A367E1"/>
    <w:rsid w:val="00A42A33"/>
    <w:rsid w:val="00A44D23"/>
    <w:rsid w:val="00A52482"/>
    <w:rsid w:val="00A779D7"/>
    <w:rsid w:val="00A8006B"/>
    <w:rsid w:val="00A878DA"/>
    <w:rsid w:val="00AB70EE"/>
    <w:rsid w:val="00AB7633"/>
    <w:rsid w:val="00AC57B2"/>
    <w:rsid w:val="00AD1F51"/>
    <w:rsid w:val="00AD730D"/>
    <w:rsid w:val="00B0142E"/>
    <w:rsid w:val="00B067B2"/>
    <w:rsid w:val="00B150D0"/>
    <w:rsid w:val="00B279CF"/>
    <w:rsid w:val="00B305F2"/>
    <w:rsid w:val="00B51159"/>
    <w:rsid w:val="00B61578"/>
    <w:rsid w:val="00BA5B1C"/>
    <w:rsid w:val="00BB5A0A"/>
    <w:rsid w:val="00BD52A7"/>
    <w:rsid w:val="00C00C72"/>
    <w:rsid w:val="00C261C4"/>
    <w:rsid w:val="00C34FE0"/>
    <w:rsid w:val="00C4100E"/>
    <w:rsid w:val="00C60009"/>
    <w:rsid w:val="00C613B0"/>
    <w:rsid w:val="00C70957"/>
    <w:rsid w:val="00C8463D"/>
    <w:rsid w:val="00C920C2"/>
    <w:rsid w:val="00C94CAD"/>
    <w:rsid w:val="00CC7680"/>
    <w:rsid w:val="00CE76E6"/>
    <w:rsid w:val="00D014AE"/>
    <w:rsid w:val="00D330F0"/>
    <w:rsid w:val="00D65840"/>
    <w:rsid w:val="00DA04CE"/>
    <w:rsid w:val="00DA0D6E"/>
    <w:rsid w:val="00DA7F7C"/>
    <w:rsid w:val="00DB0F68"/>
    <w:rsid w:val="00DE7B37"/>
    <w:rsid w:val="00E1452B"/>
    <w:rsid w:val="00E14E80"/>
    <w:rsid w:val="00E32124"/>
    <w:rsid w:val="00E54CF2"/>
    <w:rsid w:val="00E631B6"/>
    <w:rsid w:val="00E65F3E"/>
    <w:rsid w:val="00E8349E"/>
    <w:rsid w:val="00E84703"/>
    <w:rsid w:val="00E91208"/>
    <w:rsid w:val="00E94544"/>
    <w:rsid w:val="00E96792"/>
    <w:rsid w:val="00EB0413"/>
    <w:rsid w:val="00EB211F"/>
    <w:rsid w:val="00EB4AFC"/>
    <w:rsid w:val="00EF30B3"/>
    <w:rsid w:val="00F06CE8"/>
    <w:rsid w:val="00F1212B"/>
    <w:rsid w:val="00F142A1"/>
    <w:rsid w:val="00F25A12"/>
    <w:rsid w:val="00F40002"/>
    <w:rsid w:val="00F564D5"/>
    <w:rsid w:val="00F94A0F"/>
    <w:rsid w:val="00F951ED"/>
    <w:rsid w:val="00FB3267"/>
    <w:rsid w:val="00FB55F4"/>
    <w:rsid w:val="00FD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05B5"/>
  <w15:chartTrackingRefBased/>
  <w15:docId w15:val="{96B7E6E5-85AF-4E61-B1FB-C9985F59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4AE"/>
    <w:pPr>
      <w:ind w:left="720"/>
      <w:contextualSpacing/>
    </w:pPr>
  </w:style>
  <w:style w:type="character" w:styleId="Hyperlink">
    <w:name w:val="Hyperlink"/>
    <w:basedOn w:val="DefaultParagraphFont"/>
    <w:uiPriority w:val="99"/>
    <w:unhideWhenUsed/>
    <w:rsid w:val="00576113"/>
    <w:rPr>
      <w:color w:val="0563C1" w:themeColor="hyperlink"/>
      <w:u w:val="single"/>
    </w:rPr>
  </w:style>
  <w:style w:type="table" w:styleId="TableGrid">
    <w:name w:val="Table Grid"/>
    <w:basedOn w:val="TableNormal"/>
    <w:uiPriority w:val="39"/>
    <w:rsid w:val="0000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72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vel1">
    <w:name w:val="Level 1"/>
    <w:basedOn w:val="ListParagraph"/>
    <w:qFormat/>
    <w:rsid w:val="0048721D"/>
    <w:pPr>
      <w:numPr>
        <w:numId w:val="7"/>
      </w:numPr>
      <w:ind w:left="357" w:hanging="357"/>
      <w:contextualSpacing w:val="0"/>
    </w:pPr>
    <w:rPr>
      <w:rFonts w:eastAsiaTheme="minorEastAsia"/>
    </w:rPr>
  </w:style>
  <w:style w:type="paragraph" w:customStyle="1" w:styleId="Level2">
    <w:name w:val="Level 2"/>
    <w:basedOn w:val="Level1"/>
    <w:qFormat/>
    <w:rsid w:val="0048721D"/>
    <w:pPr>
      <w:numPr>
        <w:ilvl w:val="1"/>
      </w:numPr>
    </w:pPr>
  </w:style>
  <w:style w:type="paragraph" w:customStyle="1" w:styleId="Level3">
    <w:name w:val="Level 3"/>
    <w:basedOn w:val="Level2"/>
    <w:qFormat/>
    <w:rsid w:val="0048721D"/>
    <w:pPr>
      <w:numPr>
        <w:ilvl w:val="2"/>
      </w:numPr>
    </w:pPr>
  </w:style>
  <w:style w:type="character" w:styleId="FollowedHyperlink">
    <w:name w:val="FollowedHyperlink"/>
    <w:basedOn w:val="DefaultParagraphFont"/>
    <w:uiPriority w:val="99"/>
    <w:semiHidden/>
    <w:unhideWhenUsed/>
    <w:rsid w:val="007A2016"/>
    <w:rPr>
      <w:color w:val="954F72" w:themeColor="followedHyperlink"/>
      <w:u w:val="single"/>
    </w:rPr>
  </w:style>
  <w:style w:type="paragraph" w:styleId="Caption">
    <w:name w:val="caption"/>
    <w:basedOn w:val="Normal"/>
    <w:next w:val="Normal"/>
    <w:uiPriority w:val="35"/>
    <w:unhideWhenUsed/>
    <w:qFormat/>
    <w:rsid w:val="006C2F88"/>
    <w:pPr>
      <w:spacing w:after="200" w:line="240" w:lineRule="auto"/>
    </w:pPr>
    <w:rPr>
      <w:i/>
      <w:iCs/>
      <w:color w:val="44546A" w:themeColor="text2"/>
      <w:sz w:val="18"/>
      <w:szCs w:val="18"/>
    </w:rPr>
  </w:style>
  <w:style w:type="paragraph" w:styleId="Revision">
    <w:name w:val="Revision"/>
    <w:hidden/>
    <w:uiPriority w:val="99"/>
    <w:semiHidden/>
    <w:rsid w:val="006C2F88"/>
    <w:pPr>
      <w:spacing w:after="0" w:line="240" w:lineRule="auto"/>
    </w:pPr>
  </w:style>
  <w:style w:type="paragraph" w:styleId="FootnoteText">
    <w:name w:val="footnote text"/>
    <w:basedOn w:val="Normal"/>
    <w:link w:val="FootnoteTextChar"/>
    <w:uiPriority w:val="99"/>
    <w:semiHidden/>
    <w:unhideWhenUsed/>
    <w:rsid w:val="00EB0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413"/>
    <w:rPr>
      <w:sz w:val="20"/>
      <w:szCs w:val="20"/>
    </w:rPr>
  </w:style>
  <w:style w:type="character" w:styleId="FootnoteReference">
    <w:name w:val="footnote reference"/>
    <w:basedOn w:val="DefaultParagraphFont"/>
    <w:uiPriority w:val="99"/>
    <w:semiHidden/>
    <w:unhideWhenUsed/>
    <w:rsid w:val="00EB0413"/>
    <w:rPr>
      <w:vertAlign w:val="superscript"/>
    </w:rPr>
  </w:style>
  <w:style w:type="character" w:styleId="CommentReference">
    <w:name w:val="annotation reference"/>
    <w:basedOn w:val="DefaultParagraphFont"/>
    <w:uiPriority w:val="99"/>
    <w:semiHidden/>
    <w:unhideWhenUsed/>
    <w:rsid w:val="00B305F2"/>
    <w:rPr>
      <w:sz w:val="16"/>
      <w:szCs w:val="16"/>
    </w:rPr>
  </w:style>
  <w:style w:type="paragraph" w:styleId="CommentText">
    <w:name w:val="annotation text"/>
    <w:basedOn w:val="Normal"/>
    <w:link w:val="CommentTextChar"/>
    <w:uiPriority w:val="99"/>
    <w:unhideWhenUsed/>
    <w:rsid w:val="00B305F2"/>
    <w:pPr>
      <w:spacing w:line="240" w:lineRule="auto"/>
    </w:pPr>
    <w:rPr>
      <w:sz w:val="20"/>
      <w:szCs w:val="20"/>
    </w:rPr>
  </w:style>
  <w:style w:type="character" w:customStyle="1" w:styleId="CommentTextChar">
    <w:name w:val="Comment Text Char"/>
    <w:basedOn w:val="DefaultParagraphFont"/>
    <w:link w:val="CommentText"/>
    <w:uiPriority w:val="99"/>
    <w:rsid w:val="00B305F2"/>
    <w:rPr>
      <w:sz w:val="20"/>
      <w:szCs w:val="20"/>
    </w:rPr>
  </w:style>
  <w:style w:type="paragraph" w:styleId="CommentSubject">
    <w:name w:val="annotation subject"/>
    <w:basedOn w:val="CommentText"/>
    <w:next w:val="CommentText"/>
    <w:link w:val="CommentSubjectChar"/>
    <w:uiPriority w:val="99"/>
    <w:semiHidden/>
    <w:unhideWhenUsed/>
    <w:rsid w:val="00B305F2"/>
    <w:rPr>
      <w:b/>
      <w:bCs/>
    </w:rPr>
  </w:style>
  <w:style w:type="character" w:customStyle="1" w:styleId="CommentSubjectChar">
    <w:name w:val="Comment Subject Char"/>
    <w:basedOn w:val="CommentTextChar"/>
    <w:link w:val="CommentSubject"/>
    <w:uiPriority w:val="99"/>
    <w:semiHidden/>
    <w:rsid w:val="00B305F2"/>
    <w:rPr>
      <w:b/>
      <w:bCs/>
      <w:sz w:val="20"/>
      <w:szCs w:val="20"/>
    </w:rPr>
  </w:style>
  <w:style w:type="paragraph" w:styleId="BalloonText">
    <w:name w:val="Balloon Text"/>
    <w:basedOn w:val="Normal"/>
    <w:link w:val="BalloonTextChar"/>
    <w:uiPriority w:val="99"/>
    <w:semiHidden/>
    <w:unhideWhenUsed/>
    <w:rsid w:val="00485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9420">
      <w:bodyDiv w:val="1"/>
      <w:marLeft w:val="0"/>
      <w:marRight w:val="0"/>
      <w:marTop w:val="0"/>
      <w:marBottom w:val="0"/>
      <w:divBdr>
        <w:top w:val="none" w:sz="0" w:space="0" w:color="auto"/>
        <w:left w:val="none" w:sz="0" w:space="0" w:color="auto"/>
        <w:bottom w:val="none" w:sz="0" w:space="0" w:color="auto"/>
        <w:right w:val="none" w:sz="0" w:space="0" w:color="auto"/>
      </w:divBdr>
      <w:divsChild>
        <w:div w:id="766199736">
          <w:marLeft w:val="0"/>
          <w:marRight w:val="0"/>
          <w:marTop w:val="0"/>
          <w:marBottom w:val="0"/>
          <w:divBdr>
            <w:top w:val="none" w:sz="0" w:space="0" w:color="auto"/>
            <w:left w:val="none" w:sz="0" w:space="0" w:color="auto"/>
            <w:bottom w:val="none" w:sz="0" w:space="0" w:color="auto"/>
            <w:right w:val="none" w:sz="0" w:space="0" w:color="auto"/>
          </w:divBdr>
        </w:div>
        <w:div w:id="191115299">
          <w:marLeft w:val="0"/>
          <w:marRight w:val="0"/>
          <w:marTop w:val="0"/>
          <w:marBottom w:val="0"/>
          <w:divBdr>
            <w:top w:val="none" w:sz="0" w:space="0" w:color="auto"/>
            <w:left w:val="none" w:sz="0" w:space="0" w:color="auto"/>
            <w:bottom w:val="none" w:sz="0" w:space="0" w:color="auto"/>
            <w:right w:val="none" w:sz="0" w:space="0" w:color="auto"/>
          </w:divBdr>
        </w:div>
        <w:div w:id="131232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ghamparishcouncil.co.uk/wp-content/uploads/2023/04/AW-Langham-Committed-Investment-Plan26532.pdf"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naturalengland.org.uk/file/4553661829873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wat.gov.uk/regulated-companies/markets/nav-market/" TargetMode="External"/><Relationship Id="rId5" Type="http://schemas.openxmlformats.org/officeDocument/2006/relationships/webSettings" Target="webSettings.xml"/><Relationship Id="rId10" Type="http://schemas.openxmlformats.org/officeDocument/2006/relationships/hyperlink" Target="https://cbccrmdata.blob.core.windows.net/noteattachment/CBC-null-Water-Cycle-Study-Preferred-Options-Local-Plan-Final-July-2025-Colchester%20Water%20Cycle%20Study%202025%20final%20(2).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langhamparishcouncil.co.uk/wp-content/uploads/2024/02/AW-Mtg-Notes-2nd-feb-2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14FB3C-AA10-47C1-9F9D-E0078F2F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dcterms:created xsi:type="dcterms:W3CDTF">2026-01-12T17:18:00Z</dcterms:created>
  <dcterms:modified xsi:type="dcterms:W3CDTF">2026-01-12T17:35:00Z</dcterms:modified>
</cp:coreProperties>
</file>