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4F78" w14:textId="77777777" w:rsidR="00BC3489" w:rsidRPr="00BC3489" w:rsidRDefault="00BC3489" w:rsidP="00BC34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C3489">
        <w:rPr>
          <w:rFonts w:ascii="Calibri" w:eastAsia="Times New Roman" w:hAnsi="Calibri" w:cs="Calibri"/>
          <w:b/>
          <w:bCs/>
          <w:color w:val="000000"/>
          <w:kern w:val="0"/>
          <w:sz w:val="22"/>
          <w:szCs w:val="22"/>
          <w:lang w:eastAsia="en-GB"/>
          <w14:ligatures w14:val="none"/>
        </w:rPr>
        <w:t>From:</w:t>
      </w:r>
      <w:r w:rsidRPr="00BC3489">
        <w:rPr>
          <w:rFonts w:ascii="Calibri" w:eastAsia="Times New Roman" w:hAnsi="Calibri" w:cs="Calibri"/>
          <w:color w:val="000000"/>
          <w:kern w:val="0"/>
          <w:sz w:val="22"/>
          <w:szCs w:val="22"/>
          <w:lang w:eastAsia="en-GB"/>
          <w14:ligatures w14:val="none"/>
        </w:rPr>
        <w:t> Peter Harris &lt;peter.harris@popham.co&gt;</w:t>
      </w:r>
      <w:r w:rsidRPr="00BC3489">
        <w:rPr>
          <w:rFonts w:ascii="Calibri" w:eastAsia="Times New Roman" w:hAnsi="Calibri" w:cs="Calibri"/>
          <w:color w:val="000000"/>
          <w:kern w:val="0"/>
          <w:sz w:val="22"/>
          <w:szCs w:val="22"/>
          <w:lang w:eastAsia="en-GB"/>
          <w14:ligatures w14:val="none"/>
        </w:rPr>
        <w:br/>
      </w:r>
      <w:r w:rsidRPr="00BC3489">
        <w:rPr>
          <w:rFonts w:ascii="Calibri" w:eastAsia="Times New Roman" w:hAnsi="Calibri" w:cs="Calibri"/>
          <w:b/>
          <w:bCs/>
          <w:color w:val="000000"/>
          <w:kern w:val="0"/>
          <w:sz w:val="22"/>
          <w:szCs w:val="22"/>
          <w:lang w:eastAsia="en-GB"/>
          <w14:ligatures w14:val="none"/>
        </w:rPr>
        <w:t>Sent:</w:t>
      </w:r>
      <w:r w:rsidRPr="00BC3489">
        <w:rPr>
          <w:rFonts w:ascii="Calibri" w:eastAsia="Times New Roman" w:hAnsi="Calibri" w:cs="Calibri"/>
          <w:color w:val="000000"/>
          <w:kern w:val="0"/>
          <w:sz w:val="22"/>
          <w:szCs w:val="22"/>
          <w:lang w:eastAsia="en-GB"/>
          <w14:ligatures w14:val="none"/>
        </w:rPr>
        <w:t> 14 January 2026 14:10</w:t>
      </w:r>
      <w:r w:rsidRPr="00BC3489">
        <w:rPr>
          <w:rFonts w:ascii="Calibri" w:eastAsia="Times New Roman" w:hAnsi="Calibri" w:cs="Calibri"/>
          <w:color w:val="000000"/>
          <w:kern w:val="0"/>
          <w:sz w:val="22"/>
          <w:szCs w:val="22"/>
          <w:lang w:eastAsia="en-GB"/>
          <w14:ligatures w14:val="none"/>
        </w:rPr>
        <w:br/>
      </w:r>
      <w:r w:rsidRPr="00BC3489">
        <w:rPr>
          <w:rFonts w:ascii="Calibri" w:eastAsia="Times New Roman" w:hAnsi="Calibri" w:cs="Calibri"/>
          <w:b/>
          <w:bCs/>
          <w:color w:val="000000"/>
          <w:kern w:val="0"/>
          <w:sz w:val="22"/>
          <w:szCs w:val="22"/>
          <w:lang w:eastAsia="en-GB"/>
          <w14:ligatures w14:val="none"/>
        </w:rPr>
        <w:t>To:</w:t>
      </w:r>
      <w:r w:rsidRPr="00BC3489">
        <w:rPr>
          <w:rFonts w:ascii="Calibri" w:eastAsia="Times New Roman" w:hAnsi="Calibri" w:cs="Calibri"/>
          <w:color w:val="000000"/>
          <w:kern w:val="0"/>
          <w:sz w:val="22"/>
          <w:szCs w:val="22"/>
          <w:lang w:eastAsia="en-GB"/>
          <w14:ligatures w14:val="none"/>
        </w:rPr>
        <w:t> Karen Syrett &lt;Karen.Syrett@colchester.gov.uk&gt;; Sandra Scott &lt;Sandra.Scott@colchester.gov.uk&gt;</w:t>
      </w:r>
      <w:r w:rsidRPr="00BC3489">
        <w:rPr>
          <w:rFonts w:ascii="Calibri" w:eastAsia="Times New Roman" w:hAnsi="Calibri" w:cs="Calibri"/>
          <w:color w:val="000000"/>
          <w:kern w:val="0"/>
          <w:sz w:val="22"/>
          <w:szCs w:val="22"/>
          <w:lang w:eastAsia="en-GB"/>
          <w14:ligatures w14:val="none"/>
        </w:rPr>
        <w:br/>
      </w:r>
      <w:r w:rsidRPr="00BC3489">
        <w:rPr>
          <w:rFonts w:ascii="Calibri" w:eastAsia="Times New Roman" w:hAnsi="Calibri" w:cs="Calibri"/>
          <w:b/>
          <w:bCs/>
          <w:color w:val="000000"/>
          <w:kern w:val="0"/>
          <w:sz w:val="22"/>
          <w:szCs w:val="22"/>
          <w:lang w:eastAsia="en-GB"/>
          <w14:ligatures w14:val="none"/>
        </w:rPr>
        <w:t>Cc:</w:t>
      </w:r>
      <w:r w:rsidRPr="00BC3489">
        <w:rPr>
          <w:rFonts w:ascii="Calibri" w:eastAsia="Times New Roman" w:hAnsi="Calibri" w:cs="Calibri"/>
          <w:color w:val="000000"/>
          <w:kern w:val="0"/>
          <w:sz w:val="22"/>
          <w:szCs w:val="22"/>
          <w:lang w:eastAsia="en-GB"/>
          <w14:ligatures w14:val="none"/>
        </w:rPr>
        <w:t> Richard Sykes-Popham &lt;richard@popham.co&gt;; JEeles@neebholdings.co.uk &lt;JEeles@neebholdings.co.uk&gt;; Raymond.Raymond@neebholdings.co.uk &lt;Raymond.Raymond@neebholdings.co.uk&gt;; Roger.Raymond@neebholdings.co.uk &lt;Roger.Raymond@neebholdings.co.uk&gt;</w:t>
      </w:r>
      <w:r w:rsidRPr="00BC3489">
        <w:rPr>
          <w:rFonts w:ascii="Calibri" w:eastAsia="Times New Roman" w:hAnsi="Calibri" w:cs="Calibri"/>
          <w:color w:val="000000"/>
          <w:kern w:val="0"/>
          <w:sz w:val="22"/>
          <w:szCs w:val="22"/>
          <w:lang w:eastAsia="en-GB"/>
          <w14:ligatures w14:val="none"/>
        </w:rPr>
        <w:br/>
      </w:r>
      <w:r w:rsidRPr="00BC3489">
        <w:rPr>
          <w:rFonts w:ascii="Calibri" w:eastAsia="Times New Roman" w:hAnsi="Calibri" w:cs="Calibri"/>
          <w:b/>
          <w:bCs/>
          <w:color w:val="000000"/>
          <w:kern w:val="0"/>
          <w:sz w:val="22"/>
          <w:szCs w:val="22"/>
          <w:lang w:eastAsia="en-GB"/>
          <w14:ligatures w14:val="none"/>
        </w:rPr>
        <w:t>Subject:</w:t>
      </w:r>
      <w:r w:rsidRPr="00BC3489">
        <w:rPr>
          <w:rFonts w:ascii="Calibri" w:eastAsia="Times New Roman" w:hAnsi="Calibri" w:cs="Calibri"/>
          <w:color w:val="000000"/>
          <w:kern w:val="0"/>
          <w:sz w:val="22"/>
          <w:szCs w:val="22"/>
          <w:lang w:eastAsia="en-GB"/>
          <w14:ligatures w14:val="none"/>
        </w:rPr>
        <w:t> Colchester City Council Preferred Options Local Plan Regulation 18 Consultation 2025</w:t>
      </w:r>
    </w:p>
    <w:p w14:paraId="2F1060A6" w14:textId="77777777" w:rsidR="00BC3489" w:rsidRPr="00BC3489" w:rsidRDefault="00BC3489" w:rsidP="00BC34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BC3489">
        <w:rPr>
          <w:rFonts w:ascii="Segoe UI" w:eastAsia="Times New Roman" w:hAnsi="Segoe UI" w:cs="Segoe UI"/>
          <w:color w:val="242424"/>
          <w:kern w:val="0"/>
          <w:sz w:val="23"/>
          <w:szCs w:val="23"/>
          <w:lang w:eastAsia="en-GB"/>
          <w14:ligatures w14:val="none"/>
        </w:rPr>
        <w:t> </w:t>
      </w: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66"/>
        <w:gridCol w:w="8804"/>
        <w:gridCol w:w="156"/>
      </w:tblGrid>
      <w:tr w:rsidR="00BC3489" w:rsidRPr="00BC3489" w14:paraId="2179A162" w14:textId="77777777">
        <w:trPr>
          <w:tblCellSpacing w:w="0" w:type="dxa"/>
        </w:trPr>
        <w:tc>
          <w:tcPr>
            <w:tcW w:w="6" w:type="dxa"/>
            <w:shd w:val="clear" w:color="auto" w:fill="A6A6A6"/>
            <w:tcMar>
              <w:top w:w="105" w:type="dxa"/>
              <w:left w:w="30" w:type="dxa"/>
              <w:bottom w:w="105" w:type="dxa"/>
              <w:right w:w="30" w:type="dxa"/>
            </w:tcMar>
            <w:vAlign w:val="center"/>
            <w:hideMark/>
          </w:tcPr>
          <w:p w14:paraId="225880AC" w14:textId="77777777" w:rsidR="00BC3489" w:rsidRPr="00BC3489" w:rsidRDefault="00BC3489" w:rsidP="00BC34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tc>
        <w:tc>
          <w:tcPr>
            <w:tcW w:w="5000" w:type="pct"/>
            <w:shd w:val="clear" w:color="auto" w:fill="EAEAEA"/>
            <w:tcMar>
              <w:top w:w="105" w:type="dxa"/>
              <w:left w:w="225" w:type="dxa"/>
              <w:bottom w:w="105" w:type="dxa"/>
              <w:right w:w="75" w:type="dxa"/>
            </w:tcMar>
            <w:vAlign w:val="center"/>
            <w:hideMark/>
          </w:tcPr>
          <w:p w14:paraId="384CFB16" w14:textId="77777777" w:rsidR="00BC3489" w:rsidRPr="00BC3489" w:rsidRDefault="00BC3489" w:rsidP="00BC3489">
            <w:pPr>
              <w:spacing w:after="0" w:line="240" w:lineRule="auto"/>
              <w:rPr>
                <w:rFonts w:ascii="inherit" w:eastAsia="Times New Roman" w:hAnsi="inherit" w:cs="Segoe UI"/>
                <w:color w:val="212121"/>
                <w:kern w:val="0"/>
                <w:sz w:val="18"/>
                <w:szCs w:val="18"/>
                <w:lang w:eastAsia="en-GB"/>
                <w14:ligatures w14:val="none"/>
              </w:rPr>
            </w:pPr>
            <w:r w:rsidRPr="00BC3489">
              <w:rPr>
                <w:rFonts w:ascii="inherit" w:eastAsia="Times New Roman" w:hAnsi="inherit" w:cs="Segoe UI"/>
                <w:color w:val="212121"/>
                <w:kern w:val="0"/>
                <w:sz w:val="18"/>
                <w:szCs w:val="18"/>
                <w:lang w:eastAsia="en-GB"/>
                <w14:ligatures w14:val="none"/>
              </w:rPr>
              <w:t>Some people who received this message don't often get email from peter.harris@popham.co. </w:t>
            </w:r>
            <w:hyperlink r:id="rId5" w:tooltip="https://aka.ms/LearnAboutSenderIdentification" w:history="1">
              <w:r w:rsidRPr="00BC3489">
                <w:rPr>
                  <w:rFonts w:ascii="inherit" w:eastAsia="Times New Roman" w:hAnsi="inherit" w:cs="Segoe UI"/>
                  <w:color w:val="0000FF"/>
                  <w:kern w:val="0"/>
                  <w:sz w:val="18"/>
                  <w:szCs w:val="18"/>
                  <w:u w:val="single"/>
                  <w:bdr w:val="none" w:sz="0" w:space="0" w:color="auto" w:frame="1"/>
                  <w:lang w:eastAsia="en-GB"/>
                  <w14:ligatures w14:val="none"/>
                </w:rPr>
                <w:t>Learn why this is important</w:t>
              </w:r>
            </w:hyperlink>
          </w:p>
        </w:tc>
        <w:tc>
          <w:tcPr>
            <w:tcW w:w="1125" w:type="dxa"/>
            <w:shd w:val="clear" w:color="auto" w:fill="EAEAEA"/>
            <w:tcMar>
              <w:top w:w="105" w:type="dxa"/>
              <w:left w:w="75" w:type="dxa"/>
              <w:bottom w:w="105" w:type="dxa"/>
              <w:right w:w="75" w:type="dxa"/>
            </w:tcMar>
            <w:vAlign w:val="center"/>
            <w:hideMark/>
          </w:tcPr>
          <w:p w14:paraId="7C494219" w14:textId="77777777" w:rsidR="00BC3489" w:rsidRPr="00BC3489" w:rsidRDefault="00BC3489" w:rsidP="00BC3489">
            <w:pPr>
              <w:spacing w:after="0" w:line="240" w:lineRule="auto"/>
              <w:rPr>
                <w:rFonts w:ascii="inherit" w:eastAsia="Times New Roman" w:hAnsi="inherit" w:cs="Segoe UI"/>
                <w:color w:val="212121"/>
                <w:kern w:val="0"/>
                <w:sz w:val="18"/>
                <w:szCs w:val="18"/>
                <w:lang w:eastAsia="en-GB"/>
                <w14:ligatures w14:val="none"/>
              </w:rPr>
            </w:pPr>
          </w:p>
        </w:tc>
      </w:tr>
    </w:tbl>
    <w:tbl>
      <w:tblPr>
        <w:tblW w:w="5000" w:type="pct"/>
        <w:tblCellMar>
          <w:left w:w="0" w:type="dxa"/>
          <w:right w:w="0" w:type="dxa"/>
        </w:tblCellMar>
        <w:tblLook w:val="04A0" w:firstRow="1" w:lastRow="0" w:firstColumn="1" w:lastColumn="0" w:noHBand="0" w:noVBand="1"/>
      </w:tblPr>
      <w:tblGrid>
        <w:gridCol w:w="150"/>
        <w:gridCol w:w="8856"/>
      </w:tblGrid>
      <w:tr w:rsidR="00BC3489" w:rsidRPr="00BC3489" w14:paraId="1D61F159" w14:textId="77777777">
        <w:tc>
          <w:tcPr>
            <w:tcW w:w="150" w:type="dxa"/>
            <w:tcBorders>
              <w:top w:val="single" w:sz="8" w:space="0" w:color="000000"/>
              <w:left w:val="single" w:sz="8" w:space="0" w:color="000000"/>
              <w:bottom w:val="single" w:sz="8" w:space="0" w:color="000000"/>
              <w:right w:val="nil"/>
            </w:tcBorders>
            <w:shd w:val="clear" w:color="auto" w:fill="FFC000"/>
            <w:tcMar>
              <w:top w:w="15" w:type="dxa"/>
              <w:left w:w="15" w:type="dxa"/>
              <w:bottom w:w="15" w:type="dxa"/>
              <w:right w:w="15" w:type="dxa"/>
            </w:tcMar>
            <w:vAlign w:val="center"/>
            <w:hideMark/>
          </w:tcPr>
          <w:p w14:paraId="52310072" w14:textId="77777777" w:rsidR="00BC3489" w:rsidRPr="00BC3489" w:rsidRDefault="00BC3489" w:rsidP="00BC3489">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tc>
        <w:tc>
          <w:tcPr>
            <w:tcW w:w="0" w:type="auto"/>
            <w:tcBorders>
              <w:top w:val="single" w:sz="8" w:space="0" w:color="000000"/>
              <w:left w:val="nil"/>
              <w:bottom w:val="single" w:sz="8" w:space="0" w:color="000000"/>
              <w:right w:val="single" w:sz="8" w:space="0" w:color="000000"/>
            </w:tcBorders>
            <w:shd w:val="clear" w:color="auto" w:fill="AE087F"/>
            <w:tcMar>
              <w:top w:w="60" w:type="dxa"/>
              <w:left w:w="60" w:type="dxa"/>
              <w:bottom w:w="60" w:type="dxa"/>
              <w:right w:w="60" w:type="dxa"/>
            </w:tcMar>
            <w:vAlign w:val="center"/>
            <w:hideMark/>
          </w:tcPr>
          <w:p w14:paraId="3CEAF912" w14:textId="77777777" w:rsidR="00BC3489" w:rsidRPr="00BC3489" w:rsidRDefault="00BC3489" w:rsidP="00BC3489">
            <w:pPr>
              <w:spacing w:after="0" w:line="240" w:lineRule="auto"/>
              <w:rPr>
                <w:rFonts w:ascii="Aptos" w:eastAsia="Times New Roman" w:hAnsi="Aptos" w:cs="Times New Roman"/>
                <w:kern w:val="0"/>
                <w:lang w:eastAsia="en-GB"/>
                <w14:ligatures w14:val="none"/>
              </w:rPr>
            </w:pPr>
            <w:r w:rsidRPr="00BC3489">
              <w:rPr>
                <w:rFonts w:ascii="inherit" w:eastAsia="Times New Roman" w:hAnsi="inherit" w:cs="Times New Roman"/>
                <w:color w:val="FFFFFF"/>
                <w:kern w:val="0"/>
                <w:sz w:val="22"/>
                <w:szCs w:val="22"/>
                <w:bdr w:val="none" w:sz="0" w:space="0" w:color="auto" w:frame="1"/>
                <w:lang w:eastAsia="en-GB"/>
                <w14:ligatures w14:val="none"/>
              </w:rPr>
              <w:t>This message originated </w:t>
            </w:r>
            <w:r w:rsidRPr="00BC3489">
              <w:rPr>
                <w:rFonts w:ascii="Calibri" w:eastAsia="Times New Roman" w:hAnsi="Calibri" w:cs="Calibri"/>
                <w:b/>
                <w:bCs/>
                <w:color w:val="FFFFFF"/>
                <w:kern w:val="0"/>
                <w:sz w:val="22"/>
                <w:szCs w:val="22"/>
                <w:bdr w:val="none" w:sz="0" w:space="0" w:color="auto" w:frame="1"/>
                <w:lang w:eastAsia="en-GB"/>
                <w14:ligatures w14:val="none"/>
              </w:rPr>
              <w:t>Externally</w:t>
            </w:r>
            <w:r w:rsidRPr="00BC3489">
              <w:rPr>
                <w:rFonts w:ascii="inherit" w:eastAsia="Times New Roman" w:hAnsi="inherit" w:cs="Times New Roman"/>
                <w:color w:val="FFFFFF"/>
                <w:kern w:val="0"/>
                <w:sz w:val="22"/>
                <w:szCs w:val="22"/>
                <w:bdr w:val="none" w:sz="0" w:space="0" w:color="auto" w:frame="1"/>
                <w:lang w:eastAsia="en-GB"/>
                <w14:ligatures w14:val="none"/>
              </w:rPr>
              <w:t>. Do </w:t>
            </w:r>
            <w:r w:rsidRPr="00BC3489">
              <w:rPr>
                <w:rFonts w:ascii="inherit" w:eastAsia="Times New Roman" w:hAnsi="inherit" w:cs="Times New Roman"/>
                <w:b/>
                <w:bCs/>
                <w:color w:val="FFFFFF"/>
                <w:kern w:val="0"/>
                <w:sz w:val="22"/>
                <w:szCs w:val="22"/>
                <w:bdr w:val="none" w:sz="0" w:space="0" w:color="auto" w:frame="1"/>
                <w:lang w:eastAsia="en-GB"/>
                <w14:ligatures w14:val="none"/>
              </w:rPr>
              <w:t>not</w:t>
            </w:r>
            <w:r w:rsidRPr="00BC3489">
              <w:rPr>
                <w:rFonts w:ascii="inherit" w:eastAsia="Times New Roman" w:hAnsi="inherit" w:cs="Times New Roman"/>
                <w:color w:val="FFFFFF"/>
                <w:kern w:val="0"/>
                <w:sz w:val="22"/>
                <w:szCs w:val="22"/>
                <w:bdr w:val="none" w:sz="0" w:space="0" w:color="auto" w:frame="1"/>
                <w:lang w:eastAsia="en-GB"/>
                <w14:ligatures w14:val="none"/>
              </w:rPr>
              <w:t> click links or open attachments unless you recognise the sender, were expecting it and know that the content is safe.</w:t>
            </w:r>
          </w:p>
        </w:tc>
      </w:tr>
    </w:tbl>
    <w:p w14:paraId="51749396"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Dear Karen and Sandra</w:t>
      </w:r>
    </w:p>
    <w:p w14:paraId="004EBA70"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6752FF1A"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I write in connection with your current Local Plan Regulation 18 consultation.</w:t>
      </w:r>
    </w:p>
    <w:p w14:paraId="76116CEC"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158C9837"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We have made representations via your online system but wanted to write you directly also.</w:t>
      </w:r>
    </w:p>
    <w:p w14:paraId="4DB840D5"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309C16D4"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I attach:</w:t>
      </w:r>
    </w:p>
    <w:p w14:paraId="6F24889F"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679A3225" w14:textId="77777777" w:rsidR="00BC3489" w:rsidRPr="00BC3489" w:rsidRDefault="00BC3489" w:rsidP="00BC3489">
      <w:pPr>
        <w:numPr>
          <w:ilvl w:val="0"/>
          <w:numId w:val="1"/>
        </w:numPr>
        <w:shd w:val="clear" w:color="auto" w:fill="FFFFFF"/>
        <w:spacing w:after="0" w:line="240" w:lineRule="auto"/>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xml:space="preserve">Full copy our representations (these have been cut and pasted to your online system as best we </w:t>
      </w:r>
      <w:proofErr w:type="gramStart"/>
      <w:r w:rsidRPr="00BC3489">
        <w:rPr>
          <w:rFonts w:ascii="Arial" w:eastAsia="Times New Roman" w:hAnsi="Arial" w:cs="Arial"/>
          <w:color w:val="242424"/>
          <w:kern w:val="0"/>
          <w:sz w:val="20"/>
          <w:szCs w:val="20"/>
          <w:bdr w:val="none" w:sz="0" w:space="0" w:color="auto" w:frame="1"/>
          <w:lang w:eastAsia="en-GB"/>
          <w14:ligatures w14:val="none"/>
        </w:rPr>
        <w:t>can</w:t>
      </w:r>
      <w:proofErr w:type="gramEnd"/>
      <w:r w:rsidRPr="00BC3489">
        <w:rPr>
          <w:rFonts w:ascii="Arial" w:eastAsia="Times New Roman" w:hAnsi="Arial" w:cs="Arial"/>
          <w:color w:val="242424"/>
          <w:kern w:val="0"/>
          <w:sz w:val="20"/>
          <w:szCs w:val="20"/>
          <w:bdr w:val="none" w:sz="0" w:space="0" w:color="auto" w:frame="1"/>
          <w:lang w:eastAsia="en-GB"/>
          <w14:ligatures w14:val="none"/>
        </w:rPr>
        <w:t xml:space="preserve"> but the inflexibility of the system means that this approach is not able to communicate every aspect of our response); and</w:t>
      </w:r>
    </w:p>
    <w:p w14:paraId="2182B559" w14:textId="77777777" w:rsidR="00BC3489" w:rsidRPr="00BC3489" w:rsidRDefault="00BC3489" w:rsidP="00BC3489">
      <w:pPr>
        <w:numPr>
          <w:ilvl w:val="0"/>
          <w:numId w:val="1"/>
        </w:numPr>
        <w:shd w:val="clear" w:color="auto" w:fill="FFFFFF"/>
        <w:spacing w:after="0" w:line="240" w:lineRule="auto"/>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Copy of site submission of 7 March 2025 – completed Call for Sites form and location plan (a range of supporting documentation was supplied with the submission (see section 30 of form) and can be supplied again if required).</w:t>
      </w:r>
    </w:p>
    <w:p w14:paraId="2E73CD22"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2B9154DD"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Our representations make five key points:</w:t>
      </w:r>
    </w:p>
    <w:p w14:paraId="01716F04"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77BC9FED" w14:textId="77777777" w:rsidR="00BC3489" w:rsidRPr="00BC3489" w:rsidRDefault="00BC3489" w:rsidP="00BC3489">
      <w:pPr>
        <w:numPr>
          <w:ilvl w:val="0"/>
          <w:numId w:val="2"/>
        </w:numPr>
        <w:shd w:val="clear" w:color="auto" w:fill="FFFFFF"/>
        <w:spacing w:after="0" w:line="240" w:lineRule="auto"/>
        <w:ind w:left="1080"/>
        <w:textAlignment w:val="baseline"/>
        <w:rPr>
          <w:rFonts w:ascii="Aptos" w:eastAsia="Times New Roman" w:hAnsi="Aptos" w:cs="Segoe UI"/>
          <w:color w:val="242424"/>
          <w:kern w:val="0"/>
          <w:lang w:eastAsia="en-GB"/>
          <w14:ligatures w14:val="none"/>
        </w:rPr>
      </w:pPr>
      <w:r w:rsidRPr="00BC3489">
        <w:rPr>
          <w:rFonts w:ascii="Arial" w:eastAsia="Times New Roman" w:hAnsi="Arial" w:cs="Arial"/>
          <w:b/>
          <w:bCs/>
          <w:color w:val="242424"/>
          <w:kern w:val="0"/>
          <w:sz w:val="20"/>
          <w:szCs w:val="20"/>
          <w:bdr w:val="none" w:sz="0" w:space="0" w:color="auto" w:frame="1"/>
          <w:lang w:eastAsia="en-GB"/>
          <w14:ligatures w14:val="none"/>
        </w:rPr>
        <w:t>The plan’s housing provision should be higher</w:t>
      </w:r>
      <w:r w:rsidRPr="00BC3489">
        <w:rPr>
          <w:rFonts w:ascii="Arial" w:eastAsia="Times New Roman" w:hAnsi="Arial" w:cs="Arial"/>
          <w:color w:val="242424"/>
          <w:kern w:val="0"/>
          <w:sz w:val="20"/>
          <w:szCs w:val="20"/>
          <w:bdr w:val="none" w:sz="0" w:space="0" w:color="auto" w:frame="1"/>
          <w:lang w:eastAsia="en-GB"/>
          <w14:ligatures w14:val="none"/>
        </w:rPr>
        <w:t>:</w:t>
      </w:r>
    </w:p>
    <w:p w14:paraId="1A503F23"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1392E048" w14:textId="77777777" w:rsidR="00BC3489" w:rsidRPr="00BC3489" w:rsidRDefault="00BC3489" w:rsidP="00BC3489">
      <w:pPr>
        <w:numPr>
          <w:ilvl w:val="0"/>
          <w:numId w:val="3"/>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Current numbers should be a minimum and a higher provision should be targeted</w:t>
      </w:r>
    </w:p>
    <w:p w14:paraId="04B2F756" w14:textId="77777777" w:rsidR="00BC3489" w:rsidRPr="00BC3489" w:rsidRDefault="00BC3489" w:rsidP="00BC3489">
      <w:pPr>
        <w:numPr>
          <w:ilvl w:val="0"/>
          <w:numId w:val="3"/>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Oversupply should be encouraged – this will lead to:</w:t>
      </w:r>
    </w:p>
    <w:p w14:paraId="60C7552A" w14:textId="77777777" w:rsidR="00BC3489" w:rsidRPr="00BC3489" w:rsidRDefault="00BC3489" w:rsidP="00BC3489">
      <w:pPr>
        <w:numPr>
          <w:ilvl w:val="1"/>
          <w:numId w:val="4"/>
        </w:numPr>
        <w:shd w:val="clear" w:color="auto" w:fill="FFFFFF"/>
        <w:spacing w:after="0" w:line="240" w:lineRule="auto"/>
        <w:ind w:left="2376"/>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better delivery/deliverability</w:t>
      </w:r>
    </w:p>
    <w:p w14:paraId="5A1B0B91" w14:textId="77777777" w:rsidR="00BC3489" w:rsidRPr="00BC3489" w:rsidRDefault="00BC3489" w:rsidP="00BC3489">
      <w:pPr>
        <w:numPr>
          <w:ilvl w:val="1"/>
          <w:numId w:val="4"/>
        </w:numPr>
        <w:shd w:val="clear" w:color="auto" w:fill="FFFFFF"/>
        <w:spacing w:after="0" w:line="240" w:lineRule="auto"/>
        <w:ind w:left="2376"/>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greater choice and flexibility</w:t>
      </w:r>
    </w:p>
    <w:p w14:paraId="5A979550" w14:textId="77777777" w:rsidR="00BC3489" w:rsidRPr="00BC3489" w:rsidRDefault="00BC3489" w:rsidP="00BC3489">
      <w:pPr>
        <w:numPr>
          <w:ilvl w:val="0"/>
          <w:numId w:val="5"/>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Further allocations should be made (across all sizes of settlement)</w:t>
      </w:r>
    </w:p>
    <w:p w14:paraId="0447FD86" w14:textId="77777777" w:rsidR="00BC3489" w:rsidRPr="00BC3489" w:rsidRDefault="00BC3489" w:rsidP="00BC3489">
      <w:pPr>
        <w:numPr>
          <w:ilvl w:val="0"/>
          <w:numId w:val="5"/>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Windfall should be treated as a bonus rather than part of the planned supply</w:t>
      </w:r>
    </w:p>
    <w:p w14:paraId="58D5C0E4"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1B55C20C" w14:textId="77777777" w:rsidR="00BC3489" w:rsidRPr="00BC3489" w:rsidRDefault="00BC3489" w:rsidP="00BC3489">
      <w:pPr>
        <w:numPr>
          <w:ilvl w:val="0"/>
          <w:numId w:val="6"/>
        </w:numPr>
        <w:shd w:val="clear" w:color="auto" w:fill="FFFFFF"/>
        <w:spacing w:after="0" w:line="240" w:lineRule="auto"/>
        <w:ind w:left="1080"/>
        <w:textAlignment w:val="baseline"/>
        <w:rPr>
          <w:rFonts w:ascii="Aptos" w:eastAsia="Times New Roman" w:hAnsi="Aptos" w:cs="Segoe UI"/>
          <w:color w:val="242424"/>
          <w:kern w:val="0"/>
          <w:lang w:eastAsia="en-GB"/>
          <w14:ligatures w14:val="none"/>
        </w:rPr>
      </w:pPr>
      <w:r w:rsidRPr="00BC3489">
        <w:rPr>
          <w:rFonts w:ascii="Arial" w:eastAsia="Times New Roman" w:hAnsi="Arial" w:cs="Arial"/>
          <w:b/>
          <w:bCs/>
          <w:color w:val="242424"/>
          <w:kern w:val="0"/>
          <w:sz w:val="20"/>
          <w:szCs w:val="20"/>
          <w:bdr w:val="none" w:sz="0" w:space="0" w:color="auto" w:frame="1"/>
          <w:lang w:eastAsia="en-GB"/>
          <w14:ligatures w14:val="none"/>
        </w:rPr>
        <w:t>The plan’s housing distribution is flawed</w:t>
      </w:r>
      <w:r w:rsidRPr="00BC3489">
        <w:rPr>
          <w:rFonts w:ascii="Arial" w:eastAsia="Times New Roman" w:hAnsi="Arial" w:cs="Arial"/>
          <w:color w:val="242424"/>
          <w:kern w:val="0"/>
          <w:sz w:val="20"/>
          <w:szCs w:val="20"/>
          <w:bdr w:val="none" w:sz="0" w:space="0" w:color="auto" w:frame="1"/>
          <w:lang w:eastAsia="en-GB"/>
          <w14:ligatures w14:val="none"/>
        </w:rPr>
        <w:t>:</w:t>
      </w:r>
    </w:p>
    <w:p w14:paraId="44020A52"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1D52BBF7" w14:textId="77777777" w:rsidR="00BC3489" w:rsidRPr="00BC3489" w:rsidRDefault="00BC3489" w:rsidP="00BC3489">
      <w:pPr>
        <w:numPr>
          <w:ilvl w:val="0"/>
          <w:numId w:val="7"/>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Certain allocations, e.g. those for Marks Tey, are illogical/unjustified and will cause significant infrastructure issues</w:t>
      </w:r>
    </w:p>
    <w:p w14:paraId="0A01B3D9" w14:textId="77777777" w:rsidR="00BC3489" w:rsidRPr="00BC3489" w:rsidRDefault="00BC3489" w:rsidP="00BC3489">
      <w:pPr>
        <w:numPr>
          <w:ilvl w:val="0"/>
          <w:numId w:val="7"/>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Uneven/illogical/unjustified distribution between medium settlements</w:t>
      </w:r>
    </w:p>
    <w:p w14:paraId="7E5D3963" w14:textId="77777777" w:rsidR="00BC3489" w:rsidRPr="00BC3489" w:rsidRDefault="00BC3489" w:rsidP="00BC3489">
      <w:pPr>
        <w:numPr>
          <w:ilvl w:val="1"/>
          <w:numId w:val="8"/>
        </w:numPr>
        <w:shd w:val="clear" w:color="auto" w:fill="FFFFFF"/>
        <w:spacing w:after="0" w:line="240" w:lineRule="auto"/>
        <w:ind w:left="2376"/>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Gt Horkesley: 400</w:t>
      </w:r>
    </w:p>
    <w:p w14:paraId="596F7596" w14:textId="77777777" w:rsidR="00BC3489" w:rsidRPr="00BC3489" w:rsidRDefault="00BC3489" w:rsidP="00BC3489">
      <w:pPr>
        <w:numPr>
          <w:ilvl w:val="1"/>
          <w:numId w:val="8"/>
        </w:numPr>
        <w:shd w:val="clear" w:color="auto" w:fill="FFFFFF"/>
        <w:spacing w:after="0" w:line="240" w:lineRule="auto"/>
        <w:ind w:left="2376"/>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xml:space="preserve">Langham: 900 (Langham also has </w:t>
      </w:r>
      <w:proofErr w:type="gramStart"/>
      <w:r w:rsidRPr="00BC3489">
        <w:rPr>
          <w:rFonts w:ascii="Arial" w:eastAsia="Times New Roman" w:hAnsi="Arial" w:cs="Arial"/>
          <w:color w:val="242424"/>
          <w:kern w:val="0"/>
          <w:sz w:val="20"/>
          <w:szCs w:val="20"/>
          <w:bdr w:val="none" w:sz="0" w:space="0" w:color="auto" w:frame="1"/>
          <w:lang w:eastAsia="en-GB"/>
          <w14:ligatures w14:val="none"/>
        </w:rPr>
        <w:t>waste water</w:t>
      </w:r>
      <w:proofErr w:type="gramEnd"/>
      <w:r w:rsidRPr="00BC3489">
        <w:rPr>
          <w:rFonts w:ascii="Arial" w:eastAsia="Times New Roman" w:hAnsi="Arial" w:cs="Arial"/>
          <w:color w:val="242424"/>
          <w:kern w:val="0"/>
          <w:sz w:val="20"/>
          <w:szCs w:val="20"/>
          <w:bdr w:val="none" w:sz="0" w:space="0" w:color="auto" w:frame="1"/>
          <w:lang w:eastAsia="en-GB"/>
          <w14:ligatures w14:val="none"/>
        </w:rPr>
        <w:t xml:space="preserve"> issues)</w:t>
      </w:r>
    </w:p>
    <w:p w14:paraId="23FEE79E" w14:textId="77777777" w:rsidR="00BC3489" w:rsidRPr="00BC3489" w:rsidRDefault="00BC3489" w:rsidP="00BC3489">
      <w:pPr>
        <w:numPr>
          <w:ilvl w:val="1"/>
          <w:numId w:val="8"/>
        </w:numPr>
        <w:shd w:val="clear" w:color="auto" w:fill="FFFFFF"/>
        <w:spacing w:after="0" w:line="240" w:lineRule="auto"/>
        <w:ind w:left="2376"/>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West Bergholt: 250</w:t>
      </w:r>
    </w:p>
    <w:p w14:paraId="05085000" w14:textId="77777777" w:rsidR="00BC3489" w:rsidRPr="00BC3489" w:rsidRDefault="00BC3489" w:rsidP="00BC3489">
      <w:pPr>
        <w:numPr>
          <w:ilvl w:val="0"/>
          <w:numId w:val="9"/>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Insufficient sites allocated in West Bergholt</w:t>
      </w:r>
    </w:p>
    <w:p w14:paraId="2AF1BAEF" w14:textId="77777777" w:rsidR="00BC3489" w:rsidRPr="00BC3489" w:rsidRDefault="00BC3489" w:rsidP="00BC3489">
      <w:pPr>
        <w:numPr>
          <w:ilvl w:val="0"/>
          <w:numId w:val="9"/>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Further allocations should be made in West Bergholt</w:t>
      </w:r>
    </w:p>
    <w:p w14:paraId="169D3FBD"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29A2F221" w14:textId="77777777" w:rsidR="00BC3489" w:rsidRPr="00BC3489" w:rsidRDefault="00BC3489" w:rsidP="00BC3489">
      <w:pPr>
        <w:numPr>
          <w:ilvl w:val="0"/>
          <w:numId w:val="10"/>
        </w:numPr>
        <w:shd w:val="clear" w:color="auto" w:fill="FFFFFF"/>
        <w:spacing w:after="0" w:line="240" w:lineRule="auto"/>
        <w:ind w:left="1080"/>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T</w:t>
      </w:r>
      <w:r w:rsidRPr="00BC3489">
        <w:rPr>
          <w:rFonts w:ascii="Arial" w:eastAsia="Times New Roman" w:hAnsi="Arial" w:cs="Arial"/>
          <w:b/>
          <w:bCs/>
          <w:color w:val="242424"/>
          <w:kern w:val="0"/>
          <w:sz w:val="20"/>
          <w:szCs w:val="20"/>
          <w:bdr w:val="none" w:sz="0" w:space="0" w:color="auto" w:frame="1"/>
          <w:lang w:eastAsia="en-GB"/>
          <w14:ligatures w14:val="none"/>
        </w:rPr>
        <w:t>he plan’s approach to specialist housing provision will not address the significant and growing need for older people’s housing and care</w:t>
      </w:r>
      <w:r w:rsidRPr="00BC3489">
        <w:rPr>
          <w:rFonts w:ascii="Arial" w:eastAsia="Times New Roman" w:hAnsi="Arial" w:cs="Arial"/>
          <w:color w:val="242424"/>
          <w:kern w:val="0"/>
          <w:sz w:val="20"/>
          <w:szCs w:val="20"/>
          <w:bdr w:val="none" w:sz="0" w:space="0" w:color="auto" w:frame="1"/>
          <w:lang w:eastAsia="en-GB"/>
          <w14:ligatures w14:val="none"/>
        </w:rPr>
        <w:t>:</w:t>
      </w:r>
    </w:p>
    <w:p w14:paraId="6B2FA5DE"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1DFB133C" w14:textId="77777777" w:rsidR="00BC3489" w:rsidRPr="00BC3489" w:rsidRDefault="00BC3489" w:rsidP="00BC3489">
      <w:pPr>
        <w:numPr>
          <w:ilvl w:val="0"/>
          <w:numId w:val="11"/>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The plan should make allocations specifically for older people’s housing and care</w:t>
      </w:r>
    </w:p>
    <w:p w14:paraId="441DB9B1" w14:textId="77777777" w:rsidR="00BC3489" w:rsidRPr="00BC3489" w:rsidRDefault="00BC3489" w:rsidP="00BC3489">
      <w:pPr>
        <w:numPr>
          <w:ilvl w:val="0"/>
          <w:numId w:val="11"/>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lastRenderedPageBreak/>
        <w:t>Settlement boundary/countryside related policies should allow development on sites well related to settlement boundaries where it meets the identified need for older people’s housing and care – this has been done elsewhere</w:t>
      </w:r>
    </w:p>
    <w:p w14:paraId="43698D6C"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43634512" w14:textId="77777777" w:rsidR="00BC3489" w:rsidRPr="00BC3489" w:rsidRDefault="00BC3489" w:rsidP="00BC3489">
      <w:pPr>
        <w:numPr>
          <w:ilvl w:val="0"/>
          <w:numId w:val="12"/>
        </w:numPr>
        <w:shd w:val="clear" w:color="auto" w:fill="FFFFFF"/>
        <w:spacing w:after="0" w:line="240" w:lineRule="auto"/>
        <w:ind w:left="1080"/>
        <w:textAlignment w:val="baseline"/>
        <w:rPr>
          <w:rFonts w:ascii="Aptos" w:eastAsia="Times New Roman" w:hAnsi="Aptos" w:cs="Segoe UI"/>
          <w:color w:val="242424"/>
          <w:kern w:val="0"/>
          <w:lang w:eastAsia="en-GB"/>
          <w14:ligatures w14:val="none"/>
        </w:rPr>
      </w:pPr>
      <w:r w:rsidRPr="00BC3489">
        <w:rPr>
          <w:rFonts w:ascii="Arial" w:eastAsia="Times New Roman" w:hAnsi="Arial" w:cs="Arial"/>
          <w:b/>
          <w:bCs/>
          <w:color w:val="242424"/>
          <w:kern w:val="0"/>
          <w:sz w:val="20"/>
          <w:szCs w:val="20"/>
          <w:bdr w:val="none" w:sz="0" w:space="0" w:color="auto" w:frame="1"/>
          <w:lang w:eastAsia="en-GB"/>
          <w14:ligatures w14:val="none"/>
        </w:rPr>
        <w:t xml:space="preserve">The plan’s approach to dealing with and sequencing the addressing of infrastructure capacity issues (potable and </w:t>
      </w:r>
      <w:proofErr w:type="gramStart"/>
      <w:r w:rsidRPr="00BC3489">
        <w:rPr>
          <w:rFonts w:ascii="Arial" w:eastAsia="Times New Roman" w:hAnsi="Arial" w:cs="Arial"/>
          <w:b/>
          <w:bCs/>
          <w:color w:val="242424"/>
          <w:kern w:val="0"/>
          <w:sz w:val="20"/>
          <w:szCs w:val="20"/>
          <w:bdr w:val="none" w:sz="0" w:space="0" w:color="auto" w:frame="1"/>
          <w:lang w:eastAsia="en-GB"/>
          <w14:ligatures w14:val="none"/>
        </w:rPr>
        <w:t>waste water</w:t>
      </w:r>
      <w:proofErr w:type="gramEnd"/>
      <w:r w:rsidRPr="00BC3489">
        <w:rPr>
          <w:rFonts w:ascii="Arial" w:eastAsia="Times New Roman" w:hAnsi="Arial" w:cs="Arial"/>
          <w:b/>
          <w:bCs/>
          <w:color w:val="242424"/>
          <w:kern w:val="0"/>
          <w:sz w:val="20"/>
          <w:szCs w:val="20"/>
          <w:bdr w:val="none" w:sz="0" w:space="0" w:color="auto" w:frame="1"/>
          <w:lang w:eastAsia="en-GB"/>
          <w14:ligatures w14:val="none"/>
        </w:rPr>
        <w:t xml:space="preserve"> treatment) and delivery of new housing undermines delivery of plan to the extent that it may not be able to be found sound</w:t>
      </w:r>
      <w:r w:rsidRPr="00BC3489">
        <w:rPr>
          <w:rFonts w:ascii="Arial" w:eastAsia="Times New Roman" w:hAnsi="Arial" w:cs="Arial"/>
          <w:color w:val="242424"/>
          <w:kern w:val="0"/>
          <w:sz w:val="20"/>
          <w:szCs w:val="20"/>
          <w:bdr w:val="none" w:sz="0" w:space="0" w:color="auto" w:frame="1"/>
          <w:lang w:eastAsia="en-GB"/>
          <w14:ligatures w14:val="none"/>
        </w:rPr>
        <w:t>:</w:t>
      </w:r>
    </w:p>
    <w:p w14:paraId="525D9F66"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6CB9006A" w14:textId="77777777" w:rsidR="00BC3489" w:rsidRPr="00BC3489" w:rsidRDefault="00BC3489" w:rsidP="00BC3489">
      <w:pPr>
        <w:numPr>
          <w:ilvl w:val="0"/>
          <w:numId w:val="13"/>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We agree that the Council should work with AW etc to deliver water infrastructure, but this isn’t happening/hasn’t worked to date</w:t>
      </w:r>
    </w:p>
    <w:p w14:paraId="1051E616" w14:textId="77777777" w:rsidR="00BC3489" w:rsidRPr="00BC3489" w:rsidRDefault="00BC3489" w:rsidP="00BC3489">
      <w:pPr>
        <w:numPr>
          <w:ilvl w:val="0"/>
          <w:numId w:val="13"/>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xml:space="preserve">Potable water and </w:t>
      </w:r>
      <w:proofErr w:type="gramStart"/>
      <w:r w:rsidRPr="00BC3489">
        <w:rPr>
          <w:rFonts w:ascii="Arial" w:eastAsia="Times New Roman" w:hAnsi="Arial" w:cs="Arial"/>
          <w:color w:val="242424"/>
          <w:kern w:val="0"/>
          <w:sz w:val="20"/>
          <w:szCs w:val="20"/>
          <w:bdr w:val="none" w:sz="0" w:space="0" w:color="auto" w:frame="1"/>
          <w:lang w:eastAsia="en-GB"/>
          <w14:ligatures w14:val="none"/>
        </w:rPr>
        <w:t>waste water</w:t>
      </w:r>
      <w:proofErr w:type="gramEnd"/>
      <w:r w:rsidRPr="00BC3489">
        <w:rPr>
          <w:rFonts w:ascii="Arial" w:eastAsia="Times New Roman" w:hAnsi="Arial" w:cs="Arial"/>
          <w:color w:val="242424"/>
          <w:kern w:val="0"/>
          <w:sz w:val="20"/>
          <w:szCs w:val="20"/>
          <w:bdr w:val="none" w:sz="0" w:space="0" w:color="auto" w:frame="1"/>
          <w:lang w:eastAsia="en-GB"/>
          <w14:ligatures w14:val="none"/>
        </w:rPr>
        <w:t xml:space="preserve"> treatment capacity issues need to be addressed in the first two years following adoption of the plan to ensure that the plan is deliverable</w:t>
      </w:r>
    </w:p>
    <w:p w14:paraId="30F48BF8"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30AA88DA" w14:textId="77777777" w:rsidR="00BC3489" w:rsidRPr="00BC3489" w:rsidRDefault="00BC3489" w:rsidP="00BC3489">
      <w:pPr>
        <w:numPr>
          <w:ilvl w:val="0"/>
          <w:numId w:val="14"/>
        </w:numPr>
        <w:shd w:val="clear" w:color="auto" w:fill="FFFFFF"/>
        <w:spacing w:after="0" w:line="240" w:lineRule="auto"/>
        <w:ind w:left="1080"/>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L</w:t>
      </w:r>
      <w:r w:rsidRPr="00BC3489">
        <w:rPr>
          <w:rFonts w:ascii="Arial" w:eastAsia="Times New Roman" w:hAnsi="Arial" w:cs="Arial"/>
          <w:b/>
          <w:bCs/>
          <w:color w:val="242424"/>
          <w:kern w:val="0"/>
          <w:sz w:val="20"/>
          <w:szCs w:val="20"/>
          <w:bdr w:val="none" w:sz="0" w:space="0" w:color="auto" w:frame="1"/>
          <w:lang w:eastAsia="en-GB"/>
          <w14:ligatures w14:val="none"/>
        </w:rPr>
        <w:t>and north of Colchester Road and east of Maltings Park Road, West Bergholt (site submitted: 7 March 2025 by NEEB Holdings Ltd, grid reference: TL 96887 27560, site area: 2.5 hectares) should be allocated for</w:t>
      </w:r>
      <w:r w:rsidRPr="00BC3489">
        <w:rPr>
          <w:rFonts w:ascii="Arial" w:eastAsia="Times New Roman" w:hAnsi="Arial" w:cs="Arial"/>
          <w:color w:val="242424"/>
          <w:kern w:val="0"/>
          <w:sz w:val="20"/>
          <w:szCs w:val="20"/>
          <w:bdr w:val="none" w:sz="0" w:space="0" w:color="auto" w:frame="1"/>
          <w:lang w:eastAsia="en-GB"/>
          <w14:ligatures w14:val="none"/>
        </w:rPr>
        <w:t>:</w:t>
      </w:r>
    </w:p>
    <w:p w14:paraId="1950F248"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516B7AE3" w14:textId="77777777" w:rsidR="00BC3489" w:rsidRPr="00BC3489" w:rsidRDefault="00BC3489" w:rsidP="00BC3489">
      <w:pPr>
        <w:numPr>
          <w:ilvl w:val="0"/>
          <w:numId w:val="15"/>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housing – the site could accommodate: 50 dwellings and more than 40% open space or</w:t>
      </w:r>
    </w:p>
    <w:p w14:paraId="2356424A" w14:textId="77777777" w:rsidR="00BC3489" w:rsidRPr="00BC3489" w:rsidRDefault="00BC3489" w:rsidP="00BC3489">
      <w:pPr>
        <w:numPr>
          <w:ilvl w:val="0"/>
          <w:numId w:val="15"/>
        </w:numPr>
        <w:shd w:val="clear" w:color="auto" w:fill="FFFFFF"/>
        <w:spacing w:after="0" w:line="240" w:lineRule="auto"/>
        <w:ind w:left="1800"/>
        <w:textAlignment w:val="baseline"/>
        <w:rPr>
          <w:rFonts w:ascii="Calibri" w:eastAsia="Times New Roman" w:hAnsi="Calibri" w:cs="Calibri"/>
          <w:color w:val="242424"/>
          <w:kern w:val="0"/>
          <w:sz w:val="22"/>
          <w:szCs w:val="22"/>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specialist housing (older people’s housing and care) – the site could accommodate:</w:t>
      </w:r>
    </w:p>
    <w:p w14:paraId="3F39D2F8" w14:textId="77777777" w:rsidR="00BC3489" w:rsidRPr="00BC3489" w:rsidRDefault="00BC3489" w:rsidP="00BC3489">
      <w:pPr>
        <w:numPr>
          <w:ilvl w:val="0"/>
          <w:numId w:val="16"/>
        </w:numPr>
        <w:shd w:val="clear" w:color="auto" w:fill="FFFFFF"/>
        <w:spacing w:after="0" w:line="240" w:lineRule="auto"/>
        <w:ind w:left="2376"/>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40 – 75 older people’s dwellings and more than 40% open space; or</w:t>
      </w:r>
    </w:p>
    <w:p w14:paraId="285F55E0" w14:textId="77777777" w:rsidR="00BC3489" w:rsidRPr="00BC3489" w:rsidRDefault="00BC3489" w:rsidP="00BC3489">
      <w:pPr>
        <w:numPr>
          <w:ilvl w:val="0"/>
          <w:numId w:val="16"/>
        </w:numPr>
        <w:shd w:val="clear" w:color="auto" w:fill="FFFFFF"/>
        <w:spacing w:after="0" w:line="240" w:lineRule="auto"/>
        <w:ind w:left="2376"/>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65 bed care home, 20 older people’s dwellings and more than 40% open space</w:t>
      </w:r>
    </w:p>
    <w:p w14:paraId="6C6E4DC9"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5EAB08EF" w14:textId="77777777" w:rsidR="00BC3489" w:rsidRPr="00BC3489" w:rsidRDefault="00BC3489" w:rsidP="00BC3489">
      <w:pPr>
        <w:shd w:val="clear" w:color="auto" w:fill="FFFFFF"/>
        <w:spacing w:after="0" w:line="240" w:lineRule="auto"/>
        <w:ind w:left="1080"/>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The site has sufficient capacity for the above uses and scales of development AND onsite treatment of all foul water flows meaning that it is not constrained by capacity issues at the West Bergholt WRC</w:t>
      </w:r>
    </w:p>
    <w:p w14:paraId="6282AED6"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4A7A24CE"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We would like to see these issues addressed for the benefit of the whole of the Colchester City area. </w:t>
      </w:r>
      <w:r w:rsidRPr="00BC3489">
        <w:rPr>
          <w:rFonts w:ascii="Arial" w:eastAsia="Times New Roman" w:hAnsi="Arial" w:cs="Arial"/>
          <w:color w:val="242424"/>
          <w:kern w:val="0"/>
          <w:sz w:val="20"/>
          <w:szCs w:val="20"/>
          <w:u w:val="single"/>
          <w:bdr w:val="none" w:sz="0" w:space="0" w:color="auto" w:frame="1"/>
          <w:lang w:eastAsia="en-GB"/>
          <w14:ligatures w14:val="none"/>
        </w:rPr>
        <w:t>Land north of Colchester Road and east of Maltings Park Road, West Bergholt is available and suitable for allocation for housing or specialist housing and if allocated would clearly be achievable (it is developer owned). Allocating this site would go some way to addressing the flawed distribution of dwellings proposed by the draft plan and would also provide an allocation that is not constrained by known foul water treatment issues.</w:t>
      </w:r>
    </w:p>
    <w:p w14:paraId="4AE2BD3D"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7782B528"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We would welcome the opportunity to discuss our representations and Land north of Colchester Road and east of Maltings Park Road, West Bergholt with you.</w:t>
      </w:r>
    </w:p>
    <w:p w14:paraId="6C6CC43A"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23B0D949"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Kind regards</w:t>
      </w:r>
    </w:p>
    <w:p w14:paraId="528C94DE"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p w14:paraId="7637F032"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Peter</w:t>
      </w:r>
    </w:p>
    <w:p w14:paraId="5B06AF6A" w14:textId="77777777" w:rsidR="00BC3489" w:rsidRPr="00BC3489" w:rsidRDefault="00BC3489" w:rsidP="00BC3489">
      <w:pPr>
        <w:shd w:val="clear" w:color="auto" w:fill="FFFFFF"/>
        <w:spacing w:after="0" w:line="240" w:lineRule="auto"/>
        <w:textAlignment w:val="baseline"/>
        <w:rPr>
          <w:rFonts w:ascii="Aptos" w:eastAsia="Times New Roman" w:hAnsi="Aptos" w:cs="Segoe UI"/>
          <w:color w:val="242424"/>
          <w:kern w:val="0"/>
          <w:lang w:eastAsia="en-GB"/>
          <w14:ligatures w14:val="none"/>
        </w:rPr>
      </w:pPr>
      <w:r w:rsidRPr="00BC3489">
        <w:rPr>
          <w:rFonts w:ascii="Arial" w:eastAsia="Times New Roman" w:hAnsi="Arial" w:cs="Arial"/>
          <w:color w:val="242424"/>
          <w:kern w:val="0"/>
          <w:sz w:val="20"/>
          <w:szCs w:val="20"/>
          <w:bdr w:val="none" w:sz="0" w:space="0" w:color="auto" w:frame="1"/>
          <w:lang w:eastAsia="en-GB"/>
          <w14:ligatures w14:val="none"/>
        </w:rPr>
        <w:t> </w:t>
      </w:r>
    </w:p>
    <w:tbl>
      <w:tblPr>
        <w:tblW w:w="0" w:type="auto"/>
        <w:tblCellMar>
          <w:left w:w="0" w:type="dxa"/>
          <w:right w:w="0" w:type="dxa"/>
        </w:tblCellMar>
        <w:tblLook w:val="04A0" w:firstRow="1" w:lastRow="0" w:firstColumn="1" w:lastColumn="0" w:noHBand="0" w:noVBand="1"/>
      </w:tblPr>
      <w:tblGrid>
        <w:gridCol w:w="2977"/>
      </w:tblGrid>
      <w:tr w:rsidR="00BC3489" w:rsidRPr="00BC3489" w14:paraId="32CD8505" w14:textId="77777777">
        <w:tc>
          <w:tcPr>
            <w:tcW w:w="2977" w:type="dxa"/>
            <w:hideMark/>
          </w:tcPr>
          <w:p w14:paraId="2A845C16" w14:textId="77777777" w:rsidR="00BC3489" w:rsidRPr="00BC3489" w:rsidRDefault="00BC3489" w:rsidP="00BC3489">
            <w:pPr>
              <w:spacing w:after="0" w:line="240" w:lineRule="auto"/>
              <w:rPr>
                <w:rFonts w:ascii="Aptos" w:eastAsia="Times New Roman" w:hAnsi="Aptos" w:cs="Times New Roman"/>
                <w:kern w:val="0"/>
                <w:lang w:eastAsia="en-GB"/>
                <w14:ligatures w14:val="none"/>
              </w:rPr>
            </w:pPr>
            <w:r w:rsidRPr="00BC3489">
              <w:rPr>
                <w:rFonts w:ascii="Arial" w:eastAsia="Times New Roman" w:hAnsi="Arial" w:cs="Arial"/>
                <w:b/>
                <w:bCs/>
                <w:kern w:val="0"/>
                <w:sz w:val="20"/>
                <w:szCs w:val="20"/>
                <w:bdr w:val="none" w:sz="0" w:space="0" w:color="auto" w:frame="1"/>
                <w:lang w:eastAsia="en-GB"/>
                <w14:ligatures w14:val="none"/>
              </w:rPr>
              <w:t>Peter Harri</w:t>
            </w:r>
          </w:p>
        </w:tc>
      </w:tr>
    </w:tbl>
    <w:p w14:paraId="5DD316E2" w14:textId="77777777" w:rsidR="005E1CE4" w:rsidRDefault="005E1CE4"/>
    <w:sectPr w:rsidR="005E1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242"/>
    <w:multiLevelType w:val="multilevel"/>
    <w:tmpl w:val="0D166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3262D"/>
    <w:multiLevelType w:val="multilevel"/>
    <w:tmpl w:val="8BCE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F558E"/>
    <w:multiLevelType w:val="multilevel"/>
    <w:tmpl w:val="D592D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956542"/>
    <w:multiLevelType w:val="multilevel"/>
    <w:tmpl w:val="9E383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F443A"/>
    <w:multiLevelType w:val="multilevel"/>
    <w:tmpl w:val="63C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D11CA6"/>
    <w:multiLevelType w:val="multilevel"/>
    <w:tmpl w:val="7368E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080252"/>
    <w:multiLevelType w:val="multilevel"/>
    <w:tmpl w:val="7168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5B26C2"/>
    <w:multiLevelType w:val="multilevel"/>
    <w:tmpl w:val="253E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DC497D"/>
    <w:multiLevelType w:val="multilevel"/>
    <w:tmpl w:val="EDEAC4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EB60FC"/>
    <w:multiLevelType w:val="multilevel"/>
    <w:tmpl w:val="CE50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271644"/>
    <w:multiLevelType w:val="multilevel"/>
    <w:tmpl w:val="D5C44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FE4FA2"/>
    <w:multiLevelType w:val="multilevel"/>
    <w:tmpl w:val="A43A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DA74A7"/>
    <w:multiLevelType w:val="multilevel"/>
    <w:tmpl w:val="D71A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8C5820"/>
    <w:multiLevelType w:val="multilevel"/>
    <w:tmpl w:val="F350CF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3B3FFC"/>
    <w:multiLevelType w:val="multilevel"/>
    <w:tmpl w:val="B7B4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A61750"/>
    <w:multiLevelType w:val="multilevel"/>
    <w:tmpl w:val="33D6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870040">
    <w:abstractNumId w:val="4"/>
  </w:num>
  <w:num w:numId="2" w16cid:durableId="1053844472">
    <w:abstractNumId w:val="10"/>
  </w:num>
  <w:num w:numId="3" w16cid:durableId="1147892159">
    <w:abstractNumId w:val="15"/>
  </w:num>
  <w:num w:numId="4" w16cid:durableId="1978799003">
    <w:abstractNumId w:val="0"/>
  </w:num>
  <w:num w:numId="5" w16cid:durableId="86318832">
    <w:abstractNumId w:val="7"/>
  </w:num>
  <w:num w:numId="6" w16cid:durableId="1154250781">
    <w:abstractNumId w:val="3"/>
  </w:num>
  <w:num w:numId="7" w16cid:durableId="1691293137">
    <w:abstractNumId w:val="9"/>
  </w:num>
  <w:num w:numId="8" w16cid:durableId="1913345929">
    <w:abstractNumId w:val="2"/>
  </w:num>
  <w:num w:numId="9" w16cid:durableId="275019058">
    <w:abstractNumId w:val="11"/>
  </w:num>
  <w:num w:numId="10" w16cid:durableId="1262759981">
    <w:abstractNumId w:val="13"/>
  </w:num>
  <w:num w:numId="11" w16cid:durableId="204368760">
    <w:abstractNumId w:val="14"/>
  </w:num>
  <w:num w:numId="12" w16cid:durableId="1785298760">
    <w:abstractNumId w:val="5"/>
  </w:num>
  <w:num w:numId="13" w16cid:durableId="1705865435">
    <w:abstractNumId w:val="6"/>
  </w:num>
  <w:num w:numId="14" w16cid:durableId="1008170190">
    <w:abstractNumId w:val="8"/>
  </w:num>
  <w:num w:numId="15" w16cid:durableId="1278223041">
    <w:abstractNumId w:val="12"/>
  </w:num>
  <w:num w:numId="16" w16cid:durableId="26531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89"/>
    <w:rsid w:val="00432829"/>
    <w:rsid w:val="005E1CE4"/>
    <w:rsid w:val="00BC3489"/>
    <w:rsid w:val="00F73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6400"/>
  <w15:chartTrackingRefBased/>
  <w15:docId w15:val="{95481C0D-41D9-416C-97F7-A5510633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489"/>
    <w:rPr>
      <w:rFonts w:eastAsiaTheme="majorEastAsia" w:cstheme="majorBidi"/>
      <w:color w:val="272727" w:themeColor="text1" w:themeTint="D8"/>
    </w:rPr>
  </w:style>
  <w:style w:type="paragraph" w:styleId="Title">
    <w:name w:val="Title"/>
    <w:basedOn w:val="Normal"/>
    <w:next w:val="Normal"/>
    <w:link w:val="TitleChar"/>
    <w:uiPriority w:val="10"/>
    <w:qFormat/>
    <w:rsid w:val="00BC3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489"/>
    <w:pPr>
      <w:spacing w:before="160"/>
      <w:jc w:val="center"/>
    </w:pPr>
    <w:rPr>
      <w:i/>
      <w:iCs/>
      <w:color w:val="404040" w:themeColor="text1" w:themeTint="BF"/>
    </w:rPr>
  </w:style>
  <w:style w:type="character" w:customStyle="1" w:styleId="QuoteChar">
    <w:name w:val="Quote Char"/>
    <w:basedOn w:val="DefaultParagraphFont"/>
    <w:link w:val="Quote"/>
    <w:uiPriority w:val="29"/>
    <w:rsid w:val="00BC3489"/>
    <w:rPr>
      <w:i/>
      <w:iCs/>
      <w:color w:val="404040" w:themeColor="text1" w:themeTint="BF"/>
    </w:rPr>
  </w:style>
  <w:style w:type="paragraph" w:styleId="ListParagraph">
    <w:name w:val="List Paragraph"/>
    <w:basedOn w:val="Normal"/>
    <w:uiPriority w:val="34"/>
    <w:qFormat/>
    <w:rsid w:val="00BC3489"/>
    <w:pPr>
      <w:ind w:left="720"/>
      <w:contextualSpacing/>
    </w:pPr>
  </w:style>
  <w:style w:type="character" w:styleId="IntenseEmphasis">
    <w:name w:val="Intense Emphasis"/>
    <w:basedOn w:val="DefaultParagraphFont"/>
    <w:uiPriority w:val="21"/>
    <w:qFormat/>
    <w:rsid w:val="00BC3489"/>
    <w:rPr>
      <w:i/>
      <w:iCs/>
      <w:color w:val="0F4761" w:themeColor="accent1" w:themeShade="BF"/>
    </w:rPr>
  </w:style>
  <w:style w:type="paragraph" w:styleId="IntenseQuote">
    <w:name w:val="Intense Quote"/>
    <w:basedOn w:val="Normal"/>
    <w:next w:val="Normal"/>
    <w:link w:val="IntenseQuoteChar"/>
    <w:uiPriority w:val="30"/>
    <w:qFormat/>
    <w:rsid w:val="00BC3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489"/>
    <w:rPr>
      <w:i/>
      <w:iCs/>
      <w:color w:val="0F4761" w:themeColor="accent1" w:themeShade="BF"/>
    </w:rPr>
  </w:style>
  <w:style w:type="character" w:styleId="IntenseReference">
    <w:name w:val="Intense Reference"/>
    <w:basedOn w:val="DefaultParagraphFont"/>
    <w:uiPriority w:val="32"/>
    <w:qFormat/>
    <w:rsid w:val="00BC34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ka.ms/LearnAboutSenderIdentif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4038</Characters>
  <Application>Microsoft Office Word</Application>
  <DocSecurity>0</DocSecurity>
  <Lines>103</Lines>
  <Paragraphs>42</Paragraphs>
  <ScaleCrop>false</ScaleCrop>
  <Company>Colchester Borough Council</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Buchanan</dc:creator>
  <cp:keywords/>
  <dc:description/>
  <cp:lastModifiedBy>Miriam Buchanan</cp:lastModifiedBy>
  <cp:revision>2</cp:revision>
  <dcterms:created xsi:type="dcterms:W3CDTF">2026-01-18T10:00:00Z</dcterms:created>
  <dcterms:modified xsi:type="dcterms:W3CDTF">2026-01-18T10:01:00Z</dcterms:modified>
</cp:coreProperties>
</file>